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10796"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6092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72978"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14968"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00562"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194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97064"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20990"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75266"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6488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2015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