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0511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857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10392"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80514"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046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15891"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81318"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9773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83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