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56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27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61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9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47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30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78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01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06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