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论文因排版、文献、化合物错误撤稿，后续竟这样操作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08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30 日，《RSC Adv》（影响因子 3.9，Q2）发表了一篇撤稿声明。该声明涉及 2023 年由印度阿里格尔穆斯林大学化学系的 Abdur Rehman Sheikh、Anam Arif 和 Md Musawwer Khan 等人发表在《RSC Adv》上的文章 “Aryl glyoxal: a prime synthetic equivalent for multicomponent reactions in the designing of oxygen heterocycles”（原文链接：https://doi.org/10.1039/D2RA08315A 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1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75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原因是文章存在大量排版错误、参考文献错误以及化合物命名和结构错误，致使当前版本记录不准确。英国皇家化学会（RSC）咨询独立专家后认为，对论文进行修正需作出重大改动，最佳举措是撤稿并重新发表以纠正所有错误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547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72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不过，RSC 认为文章整体结论未受这些错误影响，重新发表含正确信息的文章是恰当的。重新发表的文章已经过同行评审，可在 [https://doi.org/10.1039/D5RA01953B] 查看。通讯作者对这一疏忽表示遗憾，并向读者致歉，声明日期为 2025 年 3 月 24 日，由《RSC Adv》执行编辑 Laura Fisher 认可。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9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3&amp;sn=448e154f8fa161940f245f375fb73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