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年出版商文章处理费涨幅大揭秘，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Delta Think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研究震撼出炉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12:18:46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49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99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Dan Pollock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Heather Staines </w:t>
      </w:r>
      <w:r>
        <w:rPr>
          <w:rStyle w:val="any"/>
          <w:rFonts w:ascii="PMingLiU" w:eastAsia="PMingLiU" w:hAnsi="PMingLiU" w:cs="PMingLiU"/>
          <w:spacing w:val="8"/>
        </w:rPr>
        <w:t>发布研究成果。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Delta Think Inc. </w:t>
      </w:r>
      <w:r>
        <w:rPr>
          <w:rStyle w:val="any"/>
          <w:rFonts w:ascii="PMingLiU" w:eastAsia="PMingLiU" w:hAnsi="PMingLiU" w:cs="PMingLiU"/>
          <w:spacing w:val="8"/>
        </w:rPr>
        <w:t>研究团队每年都会针对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多家主要出版商的文章处理费用（</w:t>
      </w:r>
      <w:r>
        <w:rPr>
          <w:rStyle w:val="any"/>
          <w:rFonts w:ascii="Times New Roman" w:eastAsia="Times New Roman" w:hAnsi="Times New Roman" w:cs="Times New Roman"/>
          <w:spacing w:val="8"/>
        </w:rPr>
        <w:t>APCs</w:t>
      </w:r>
      <w:r>
        <w:rPr>
          <w:rStyle w:val="any"/>
          <w:rFonts w:ascii="PMingLiU" w:eastAsia="PMingLiU" w:hAnsi="PMingLiU" w:cs="PMingLiU"/>
          <w:spacing w:val="8"/>
        </w:rPr>
        <w:t>）展开调查，数据可追溯至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年，涵盖超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20000 </w:t>
      </w:r>
      <w:r>
        <w:rPr>
          <w:rStyle w:val="any"/>
          <w:rFonts w:ascii="PMingLiU" w:eastAsia="PMingLiU" w:hAnsi="PMingLiU" w:cs="PMingLiU"/>
          <w:spacing w:val="8"/>
        </w:rPr>
        <w:t>个独特期刊和每年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150000 </w:t>
      </w:r>
      <w:r>
        <w:rPr>
          <w:rStyle w:val="any"/>
          <w:rFonts w:ascii="PMingLiU" w:eastAsia="PMingLiU" w:hAnsi="PMingLiU" w:cs="PMingLiU"/>
          <w:spacing w:val="8"/>
        </w:rPr>
        <w:t>个期刊组合。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29050" cy="220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35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月，团队聚焦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APCs </w:t>
      </w:r>
      <w:r>
        <w:rPr>
          <w:rStyle w:val="any"/>
          <w:rFonts w:ascii="PMingLiU" w:eastAsia="PMingLiU" w:hAnsi="PMingLiU" w:cs="PMingLiU"/>
          <w:spacing w:val="8"/>
        </w:rPr>
        <w:t>价格相对于通货膨胀的变化情况。研究发现，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年价格涨幅回落至长期趋势，样本中完全开放获取（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金色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）期刊标价涨幅约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6.5%</w:t>
      </w:r>
      <w:r>
        <w:rPr>
          <w:rStyle w:val="any"/>
          <w:rFonts w:ascii="PMingLiU" w:eastAsia="PMingLiU" w:hAnsi="PMingLiU" w:cs="PMingLiU"/>
          <w:spacing w:val="8"/>
        </w:rPr>
        <w:t>，低于去年同期的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9.5%</w:t>
      </w:r>
      <w:r>
        <w:rPr>
          <w:rStyle w:val="any"/>
          <w:rFonts w:ascii="PMingLiU" w:eastAsia="PMingLiU" w:hAnsi="PMingLiU" w:cs="PMingLiU"/>
          <w:spacing w:val="8"/>
        </w:rPr>
        <w:t>；混合期刊标价平均涨幅为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3%</w:t>
      </w:r>
      <w:r>
        <w:rPr>
          <w:rStyle w:val="any"/>
          <w:rFonts w:ascii="PMingLiU" w:eastAsia="PMingLiU" w:hAnsi="PMingLiU" w:cs="PMingLiU"/>
          <w:spacing w:val="8"/>
        </w:rPr>
        <w:t>，低于去年的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4.2%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研究人员以全球消费者价格指数（</w:t>
      </w:r>
      <w:r>
        <w:rPr>
          <w:rStyle w:val="any"/>
          <w:rFonts w:ascii="Times New Roman" w:eastAsia="Times New Roman" w:hAnsi="Times New Roman" w:cs="Times New Roman"/>
          <w:spacing w:val="8"/>
        </w:rPr>
        <w:t>CPI</w:t>
      </w:r>
      <w:r>
        <w:rPr>
          <w:rStyle w:val="any"/>
          <w:rFonts w:ascii="PMingLiU" w:eastAsia="PMingLiU" w:hAnsi="PMingLiU" w:cs="PMingLiU"/>
          <w:spacing w:val="8"/>
        </w:rPr>
        <w:t>）作为通货膨胀指标。多数年份里，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APCs </w:t>
      </w:r>
      <w:r>
        <w:rPr>
          <w:rStyle w:val="any"/>
          <w:rFonts w:ascii="PMingLiU" w:eastAsia="PMingLiU" w:hAnsi="PMingLiU" w:cs="PMingLiU"/>
          <w:spacing w:val="8"/>
        </w:rPr>
        <w:t>实际价格呈下降趋势，即其增长速度慢于通货膨胀，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年是例外，当年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APCs </w:t>
      </w:r>
      <w:r>
        <w:rPr>
          <w:rStyle w:val="any"/>
          <w:rFonts w:ascii="PMingLiU" w:eastAsia="PMingLiU" w:hAnsi="PMingLiU" w:cs="PMingLiU"/>
          <w:spacing w:val="8"/>
        </w:rPr>
        <w:t>大幅上涨而通货膨胀率较低。全球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CPI </w:t>
      </w:r>
      <w:r>
        <w:rPr>
          <w:rStyle w:val="any"/>
          <w:rFonts w:ascii="PMingLiU" w:eastAsia="PMingLiU" w:hAnsi="PMingLiU" w:cs="PMingLiU"/>
          <w:spacing w:val="8"/>
        </w:rPr>
        <w:t>平均约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4%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年曾飙升至超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8%</w:t>
      </w:r>
      <w:r>
        <w:rPr>
          <w:rStyle w:val="any"/>
          <w:rFonts w:ascii="PMingLiU" w:eastAsia="PMingLiU" w:hAnsi="PMingLiU" w:cs="PMingLiU"/>
          <w:spacing w:val="8"/>
        </w:rPr>
        <w:t>，国际货币基金组织预测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4.5%</w:t>
      </w:r>
      <w:r>
        <w:rPr>
          <w:rStyle w:val="any"/>
          <w:rFonts w:ascii="PMingLiU" w:eastAsia="PMingLiU" w:hAnsi="PMingLiU" w:cs="PMingLiU"/>
          <w:spacing w:val="8"/>
        </w:rPr>
        <w:t>。由于混合期刊数量众多，所有开放获取期刊的平均情况与混合期刊相似。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单独看完全开放获取期刊价格，情况有所不同。其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APCs </w:t>
      </w:r>
      <w:r>
        <w:rPr>
          <w:rStyle w:val="any"/>
          <w:rFonts w:ascii="PMingLiU" w:eastAsia="PMingLiU" w:hAnsi="PMingLiU" w:cs="PMingLiU"/>
          <w:spacing w:val="8"/>
        </w:rPr>
        <w:t>实际价格上涨和下跌频率相当，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年价格涨幅高于通货膨胀率，进入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年仍略高于通胀水平。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总体而言，开放获取期刊价格涨幅低于通货膨胀，作者在开放获取费用上获得的价值略有增加。但因混合期刊数量大影响整体情况，仅看完全开放获取期刊时，价格涨幅略快于通胀。且因完全开放获取期刊发文量远超混合期刊，其通胀影响更普遍，不过其价格从较低基数增长且低于混合期刊。该研究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Delta Think </w:t>
      </w:r>
      <w:r>
        <w:rPr>
          <w:rStyle w:val="any"/>
          <w:rFonts w:ascii="PMingLiU" w:eastAsia="PMingLiU" w:hAnsi="PMingLiU" w:cs="PMingLiU"/>
          <w:spacing w:val="8"/>
        </w:rPr>
        <w:t>的相关分析报告中，为持续讨论的开放获取成本及可负担性问题提供了重要参考，提醒关注实际影响的细微差别。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7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0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12&amp;idx=4&amp;sn=8ebafd649601b1ba780233ceb545e3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