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国家优青团队论文陷图像重复争议！天津大学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Junjie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与华北理工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 Sun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合作研究遭审查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起风科研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起风科研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2025-05-08 09:22:53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   </w:t>
      </w:r>
    </w:p>
    <w:p>
      <w:pPr>
        <w:spacing w:before="0" w:after="36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天津大学化工学院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Junjie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（李俊杰）、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Fanglian Yao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姚芳莲）、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 Zhang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（张宏）、华北理工大学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 Sun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（孙红）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Nature Communications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Chronological adhesive cardiac patch for synchronous mechanophysiological monitoring and electrocoupling therapy”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36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45991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97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45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6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836319"/>
            <wp:docPr id="100002" name="" descr="2021-2022年天津大学强基计划招生简章，报名入口，天大强基计划招生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08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8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6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385423"/>
            <wp:docPr id="100003" name="" descr="华北理工大学是几本是211吗？2023年全国排名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3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38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在补充图 17b 中，标注为 “对照组，48 小时 ”和 “CAHP，48 小时 ”的荧光图像似乎是相同的，尽管它们被列为不同的实验组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spacing w:before="0" w:after="36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57175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7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https://pmc.ncbi.nlm.nih.gov/articles/PMC10558550/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5MDE5Mjc1Mg==&amp;mid=2247483729&amp;idx=1&amp;sn=af1e352eb199e5943e0b8b4fb137cc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