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13:01:29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hd w:val="clear" w:color="auto" w:fill="FFFFFF"/>
        <w:spacing w:before="0" w:after="75" w:line="368" w:lineRule="atLeast"/>
        <w:ind w:left="420" w:right="420" w:firstLine="0"/>
        <w:jc w:val="center"/>
        <w:rPr>
          <w:rStyle w:val="any"/>
          <w:rFonts w:ascii="Calibri" w:eastAsia="Calibri" w:hAnsi="Calibri" w:cs="Calibri"/>
          <w:color w:val="222222"/>
          <w:spacing w:val="8"/>
          <w:sz w:val="21"/>
          <w:szCs w:val="21"/>
        </w:rPr>
      </w:pPr>
      <w:r>
        <w:rPr>
          <w:rStyle w:val="any"/>
          <w:rFonts w:ascii="Calibri" w:eastAsia="Calibri" w:hAnsi="Calibri" w:cs="Calibri"/>
          <w:strike w:val="0"/>
          <w:color w:val="576B95"/>
          <w:spacing w:val="8"/>
          <w:sz w:val="21"/>
          <w:szCs w:val="21"/>
          <w:u w:val="none"/>
        </w:rPr>
        <w:drawing>
          <wp:inline>
            <wp:extent cx="5353050" cy="103822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68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本文利用空间计量经济学模型，考察不同类型能源对二氧化碳排放的地理效应。样本涵盖2000年至2018年期间亚太地区的31个国家。通过特征检验验证了模型中的空间相关性，最终选择空间杜宾模型作为最终模型。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江西工程学院的研究团队在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Regional effects of the renewable energy components on CO2 emissions of Asia-Pacific countries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该研究表明，人均国内生产总值、产业结构、对外直接投资、能源强度和城市化水平对二氧化碳排放产生显著影响。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5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发表过程可能存在操纵。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2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5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由于担心发表过程可能存在操纵，PLOS One 编辑部撤回了这篇文章 [1]。这些担忧使人们对所报告结果的有效性和来源产生了质疑。我们很遗憾，这些问题在文章发表前未能得到明确。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所有作者均未直接回复或无法联系到。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除上述文章外，一同被撤回的还有15篇文章，被撤回的16篇文章如下: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09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4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参考消息：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5"/>
          <w:szCs w:val="15"/>
        </w:rPr>
        <w:t>https://journals.plos.org/plosone/article?id=10.1371/journal.pone.0323144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98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43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539&amp;idx=1&amp;sn=2ae91fbae4686d081cea3f9ec14f99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