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篇中国学者文章，主要原因是文章内涉嫌图像的重复使用及数据不准确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08:30:33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93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本研究旨在探讨丙泊酚对心肌缺血再灌注损伤（MIRI）及丝裂原活化蛋白激酶（MAPK）/细胞外信号调节激酶（ERK）通路的影响。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12 月 ，青岛市城阳区人民医院的H-J Yan等人在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European review for medical and pharmacological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propofol on myocardial ischemia-reperfusion injury throughMAPK/ERK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丙泊酚通过 MAPK/ERK 通路对 MIRI 发挥心脏保护作用。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文章内涉嫌图像的重复使用及数据不准确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此外，2020 年 10 月 ，聊城市人民医院的G-F Wang等人在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European review for medical and pharmacological sciences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SNHG14 promotes proliferation of endometrial cancer through regulating microRNA-655-3p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食管癌肿瘤组织中LncRNA SNHG14表达显著升高，且已被证实与食管癌患者的肿瘤大小、病理分期及不良预后密切相关，并且LncRNA SNHG14可能通过调控microRNA-655-3P的表达加速食管癌的恶性进展。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文章方法学中存在严重错误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2019 年 5 月 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烟台毓璜顶医院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的Y-Y Zhang等人在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European review for medical and pharmacological sciences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SNHG14 promotes the development of cervical cancer and predicts poor prognosis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LncRNA SNHG14在宫颈肿瘤组织或细胞中高表达，可能促进宫颈癌的进展，且SNHG14可能与JAK-STAT通路的激活有关。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文章方法学中存在严重错误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7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274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该论文因图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中的数据不准确和蛋白质印迹图重复而被撤稿。作者承认已发表的数据存在差异，且无法提供原始数据，因此同意撤稿。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https://www.europeanreview.org/article/37154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41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48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466&amp;idx=2&amp;sn=e625a3cf23017e51f2dfb6ce298592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