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西安交通大学的文章被撤回，主要原因是文章中图片存在重复和篡改问题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2025-05-06 09:21:45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505450" cy="1066800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7152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帕金森病 (PD) 是一种神经退行性疾病，其特征是多巴胺能神经元的选择性丢失和路易氏体的存在。PD 的发病机制被认为与遗传易感性和环境因素有关。富含亮氨酸重复激酶 2 (LRRK2) 的突变会导致遗传性 PD，而 LRRK2 基因座则会导致散发性 PD。环境毒素被认为部分通过引起氧化应激而发挥作用。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2012 年 6 月 2 日，西安交通大学的Yang Dejun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Neurobiology of disease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LRRK2 kinase activity mediates toxic interactions between genetic mutation and oxidative stress in a Drosophila model: Suppression by curcumin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LRRK2基因变异可以与氧化应激相互作用，并汇聚成可能与帕金森病相关的致病途径。这些研究还发现姜黄素是一种LRRK2激酶抑制剂，可能成为LRRK2相关帕金森病干预的有效候选药物。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5 月 3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文章中图片存在重复和篡改问题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86439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7160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86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应主编的要求，本文已被撤回。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爱思唯尔研究诚信与出版伦理团队代表期刊进行的调查发现，图片存在重复和篡改问题，图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5e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中的两张图片被重复使用、重新着色和拉伸。作者被要求解释图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5e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中的重复和篡改问题，但作者未予回应。主编对文章的调查结果失去了信心，并决定将其撤回。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https://www.sciencedirect.com/science/article/pii/S0969996125001469?via%3Dihub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2890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2392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4375&amp;idx=2&amp;sn=8a9331dd57171c4dafec44c126d4c87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