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关注！第四军医大学一研究被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11:16:22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652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https://pubpeer.com/publications/F0729F0F992F36C013D6920579D1BD#0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The Journal of clinical investigation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Glucose- and glutamine-dependent bioenergetics sensitize bone mechanoresponse after unloading by modulating osteocyte calcium dynamics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葡萄糖和谷氨酰胺依赖的生物能代谢通过调节骨细胞钙动态，增强卸载后骨的机械应答敏感性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Xiyu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第四军医大学生物医学工程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Da Jing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第四军医大学生物医学工程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146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309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2800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881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2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https://pubpeer.com/publications/F0729F0F992F36C013D6920579D1BD#0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573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46&amp;idx=1&amp;sn=d809e987ad4195839d7ddf964b2147d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