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南京中医药大学第二附属医院，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Ning Xue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等人所著的论文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“Moxibustion Enhances Chemotherapy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稽查客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15:59:49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Heading2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4"/>
          <w:szCs w:val="24"/>
        </w:rPr>
        <w:t xml:space="preserve">       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4"/>
          <w:szCs w:val="24"/>
        </w:rPr>
        <w:t>时间：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4"/>
          <w:szCs w:val="24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4"/>
          <w:szCs w:val="24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pacing w:val="8"/>
          <w:sz w:val="24"/>
          <w:szCs w:val="24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spacing w:val="8"/>
          <w:sz w:val="24"/>
          <w:szCs w:val="24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1368" w:right="600" w:hanging="768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论文作者：</w:t>
      </w:r>
      <w:r>
        <w:rPr>
          <w:rStyle w:val="any"/>
          <w:b w:val="0"/>
          <w:bCs w:val="0"/>
          <w:caps w:val="0"/>
          <w:smallCaps w:val="0"/>
          <w:spacing w:val="8"/>
        </w:rPr>
        <w:t>Ning Xue , Xingli Fu , Yin Zhu , Nili Da , Jianbin Zhang author has email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1880" w:right="600" w:hanging="128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论文题目：</w:t>
      </w:r>
      <w:r>
        <w:rPr>
          <w:rStyle w:val="any"/>
          <w:b w:val="0"/>
          <w:bCs w:val="0"/>
          <w:caps w:val="0"/>
          <w:smallCaps w:val="0"/>
          <w:spacing w:val="8"/>
        </w:rPr>
        <w:t>Moxibustion Enhances Chemotherapy of Breast Cancer by Affecting Tumor Microenvironment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发表期刊：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《</w:t>
      </w: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Sholto David，作为国际职业打假人，于2025年2月在</w:t>
      </w:r>
      <w:r>
        <w:rPr>
          <w:rStyle w:val="any"/>
          <w:b/>
          <w:bCs/>
          <w:caps w:val="0"/>
          <w:smallCaps w:val="0"/>
          <w:spacing w:val="8"/>
        </w:rPr>
        <w:t>Pubpeer 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论坛上提出质疑：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原文：</w:t>
      </w:r>
      <w:r>
        <w:rPr>
          <w:rStyle w:val="any"/>
          <w:b w:val="0"/>
          <w:bCs w:val="0"/>
          <w:caps w:val="0"/>
          <w:smallCaps w:val="0"/>
          <w:spacing w:val="8"/>
        </w:rPr>
        <w:t>Figure 3 and Figure 4: Some unexpected overlapping areas annotated by ImageTwin.ai.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译文：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图</w:t>
      </w:r>
      <w:r>
        <w:rPr>
          <w:rStyle w:val="any"/>
          <w:b w:val="0"/>
          <w:bCs w:val="0"/>
          <w:caps w:val="0"/>
          <w:smallCaps w:val="0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与图</w:t>
      </w:r>
      <w:r>
        <w:rPr>
          <w:rStyle w:val="any"/>
          <w:b w:val="0"/>
          <w:bCs w:val="0"/>
          <w:caps w:val="0"/>
          <w:smallCap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：由</w:t>
      </w:r>
      <w:r>
        <w:rPr>
          <w:rStyle w:val="any"/>
          <w:b w:val="0"/>
          <w:bCs w:val="0"/>
          <w:caps w:val="0"/>
          <w:smallCaps w:val="0"/>
          <w:spacing w:val="8"/>
        </w:rPr>
        <w:t>Image</w:t>
      </w:r>
      <w:r>
        <w:rPr>
          <w:rStyle w:val="any"/>
          <w:b w:val="0"/>
          <w:bCs w:val="0"/>
          <w:caps w:val="0"/>
          <w:smallCaps w:val="0"/>
          <w:spacing w:val="8"/>
        </w:rPr>
        <w:t>Twin.ai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标注的</w:t>
      </w: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区域</w:t>
      </w:r>
      <w:r>
        <w:rPr>
          <w:rStyle w:val="any"/>
          <w:rFonts w:ascii="PMingLiU" w:eastAsia="PMingLiU" w:hAnsi="PMingLiU" w:cs="PMingLiU"/>
          <w:b w:val="0"/>
          <w:bCs w:val="0"/>
          <w:caps w:val="0"/>
          <w:smallCaps w:val="0"/>
          <w:spacing w:val="8"/>
        </w:rPr>
        <w:t>意外重叠。</w:t>
      </w: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trike w:val="0"/>
          <w:spacing w:val="8"/>
          <w:u w:val="none"/>
        </w:rPr>
        <w:drawing>
          <wp:inline>
            <wp:extent cx="5485829" cy="52153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10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829" cy="521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信息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https://pubpeer.com/publications/5843DD4C6223C99008BB4BCEAD814C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免责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本平台内容源自PubPeer、PubMed及国际学术期刊等公开渠道，所涉研究者姓名、机构名称均采用通用音译规则，非原始数据来源方或调查责任主体。转载内容可能存在信息滞后、版本更迭或学术争议，不保证其真实性、完整性与时效性；所述学术讨论仅作科研参考，不代表本平台立场与观点 ；建议读者通过链接渠道核验原始文献。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如果您有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勘误/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建议或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论文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查重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需要，可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通过客服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微信号xiaozhoumo66</w:t>
      </w:r>
      <w:r>
        <w:rPr>
          <w:rStyle w:val="any"/>
          <w:rFonts w:ascii="宋体" w:eastAsia="宋体" w:hAnsi="宋体" w:cs="宋体"/>
          <w:b/>
          <w:bCs/>
          <w:caps w:val="0"/>
          <w:smallCaps w:val="0"/>
          <w:spacing w:val="8"/>
        </w:rPr>
        <w:t>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 w:firstLine="0"/>
        <w:jc w:val="left"/>
        <w:rPr>
          <w:rStyle w:val="any"/>
          <w:b w:val="0"/>
          <w:bCs w:val="0"/>
          <w:spacing w:val="8"/>
        </w:rPr>
      </w:pPr>
      <w:r>
        <w:rPr>
          <w:rStyle w:val="any"/>
          <w:b w:val="0"/>
          <w:bCs w:val="0"/>
          <w:caps w:val="0"/>
          <w:smallCaps w:val="0"/>
          <w:spacing w:val="8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宋体" w:eastAsia="宋体" w:hAnsi="宋体" w:cs="宋体"/>
          <w:caps w:val="0"/>
          <w:smallCaps w:val="0"/>
          <w:color w:val="576B95"/>
          <w:spacing w:val="8"/>
        </w:rPr>
        <w:t>#</w:t>
      </w:r>
      <w:r>
        <w:rPr>
          <w:rStyle w:val="any"/>
          <w:rFonts w:ascii="宋体" w:eastAsia="宋体" w:hAnsi="宋体" w:cs="宋体"/>
          <w:caps w:val="0"/>
          <w:smallCaps w:val="0"/>
          <w:color w:val="576B95"/>
          <w:spacing w:val="8"/>
        </w:rPr>
        <w:t>南京中医药大学第二附属医院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Q2NzczNA==&amp;mid=2247483665&amp;idx=1&amp;sn=605b2ab4d31ee89b0c6aed46eea6444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