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杭州萧山中华医院骨科</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2025-05-08 18:38:15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42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29438"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杭州萧山中华医院骨科</w:t>
            </w:r>
            <w:r>
              <w:rPr>
                <w:rStyle w:val="any"/>
                <w:rFonts w:ascii="Tahoma" w:eastAsia="Tahoma" w:hAnsi="Tahoma" w:cs="Tahoma"/>
                <w:b/>
                <w:bCs/>
                <w:i w:val="0"/>
                <w:iCs w:val="0"/>
                <w:caps w:val="0"/>
                <w:smallCaps w:val="0"/>
                <w:color w:val="111111"/>
                <w:spacing w:val="8"/>
                <w:sz w:val="28"/>
                <w:szCs w:val="28"/>
              </w:rPr>
              <w:t>PLoS One</w:t>
            </w:r>
            <w:r>
              <w:rPr>
                <w:rStyle w:val="any"/>
                <w:rFonts w:ascii="PMingLiU" w:eastAsia="PMingLiU" w:hAnsi="PMingLiU" w:cs="PMingLiU"/>
                <w:b/>
                <w:bCs/>
                <w:i w:val="0"/>
                <w:iCs w:val="0"/>
                <w:caps w:val="0"/>
                <w:smallCaps w:val="0"/>
                <w:color w:val="111111"/>
                <w:spacing w:val="8"/>
                <w:sz w:val="28"/>
                <w:szCs w:val="28"/>
              </w:rPr>
              <w:t>论文</w:t>
            </w:r>
            <w:r>
              <w:rPr>
                <w:rStyle w:val="any"/>
                <w:b/>
                <w:bCs/>
                <w:i w:val="0"/>
                <w:iCs w:val="0"/>
                <w:caps w:val="0"/>
                <w:smallCaps w:val="0"/>
                <w:color w:val="111111"/>
                <w:spacing w:val="8"/>
                <w:sz w:val="28"/>
                <w:szCs w:val="28"/>
              </w:rPr>
              <w:t>WB</w:t>
            </w:r>
            <w:r>
              <w:rPr>
                <w:rStyle w:val="any"/>
                <w:rFonts w:ascii="PMingLiU" w:eastAsia="PMingLiU" w:hAnsi="PMingLiU" w:cs="PMingLiU"/>
                <w:b/>
                <w:bCs/>
                <w:i w:val="0"/>
                <w:iCs w:val="0"/>
                <w:caps w:val="0"/>
                <w:smallCaps w:val="0"/>
                <w:color w:val="111111"/>
                <w:spacing w:val="8"/>
                <w:sz w:val="28"/>
                <w:szCs w:val="28"/>
              </w:rPr>
              <w:t>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Effects of UCP4 on the Proliferation and Apoptosis of Chondrocytes: Its Possible Involvement and Regulation in Osteoarthritis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对软骨细胞增殖和凋亡的影响：其可能参与和调节骨关节炎</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活性氧（</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）诱导的软骨细胞凋亡在骨关节炎（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）的发病机制中起着关键作用。解偶联蛋白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）可以通过减少</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的产生和细胞凋亡来保护细胞免受氧化应激。在这里，原代软骨细胞中</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的沉默显著抑制了细胞存活，但诱导了</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的产生和细胞凋亡。骨关节炎患者软骨组织</w:t>
            </w:r>
            <w:r>
              <w:rPr>
                <w:rStyle w:val="any"/>
                <w:rFonts w:ascii="Tahoma" w:eastAsia="Tahoma" w:hAnsi="Tahoma" w:cs="Tahoma"/>
                <w:b w:val="0"/>
                <w:bCs w:val="0"/>
                <w:i w:val="0"/>
                <w:iCs w:val="0"/>
                <w:caps w:val="0"/>
                <w:smallCaps w:val="0"/>
                <w:color w:val="111111"/>
                <w:spacing w:val="8"/>
                <w:sz w:val="21"/>
                <w:szCs w:val="21"/>
              </w:rPr>
              <w:t>UCP4 mRNA</w:t>
            </w:r>
            <w:r>
              <w:rPr>
                <w:rStyle w:val="any"/>
                <w:rFonts w:ascii="PMingLiU" w:eastAsia="PMingLiU" w:hAnsi="PMingLiU" w:cs="PMingLiU"/>
                <w:b w:val="0"/>
                <w:bCs w:val="0"/>
                <w:i w:val="0"/>
                <w:iCs w:val="0"/>
                <w:caps w:val="0"/>
                <w:smallCaps w:val="0"/>
                <w:color w:val="111111"/>
                <w:spacing w:val="8"/>
                <w:sz w:val="21"/>
                <w:szCs w:val="21"/>
              </w:rPr>
              <w:t>水平降低，与滑液瘦素浓度呈负相关。此外，对原代培养的软骨细胞进行瘦素处理（</w:t>
            </w:r>
            <w:r>
              <w:rPr>
                <w:rStyle w:val="any"/>
                <w:rFonts w:ascii="Tahoma" w:eastAsia="Tahoma" w:hAnsi="Tahoma" w:cs="Tahoma"/>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10</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20ng/ml</w:t>
            </w:r>
            <w:r>
              <w:rPr>
                <w:rStyle w:val="any"/>
                <w:rFonts w:ascii="PMingLiU" w:eastAsia="PMingLiU" w:hAnsi="PMingLiU" w:cs="PMingLiU"/>
                <w:b w:val="0"/>
                <w:bCs w:val="0"/>
                <w:i w:val="0"/>
                <w:iCs w:val="0"/>
                <w:caps w:val="0"/>
                <w:smallCaps w:val="0"/>
                <w:color w:val="111111"/>
                <w:spacing w:val="8"/>
                <w:sz w:val="21"/>
                <w:szCs w:val="21"/>
              </w:rPr>
              <w:t>）显著降低了</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的</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和蛋白质水平，但以剂量依赖的方式增加了</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的产生和细胞凋亡。瘦素治疗（</w:t>
            </w:r>
            <w:r>
              <w:rPr>
                <w:rStyle w:val="any"/>
                <w:rFonts w:ascii="Tahoma" w:eastAsia="Tahoma" w:hAnsi="Tahoma" w:cs="Tahoma"/>
                <w:b w:val="0"/>
                <w:bCs w:val="0"/>
                <w:i w:val="0"/>
                <w:iCs w:val="0"/>
                <w:caps w:val="0"/>
                <w:smallCaps w:val="0"/>
                <w:color w:val="111111"/>
                <w:spacing w:val="8"/>
                <w:sz w:val="21"/>
                <w:szCs w:val="21"/>
              </w:rPr>
              <w:t>20ng/ml</w:t>
            </w:r>
            <w:r>
              <w:rPr>
                <w:rStyle w:val="any"/>
                <w:rFonts w:ascii="PMingLiU" w:eastAsia="PMingLiU" w:hAnsi="PMingLiU" w:cs="PMingLiU"/>
                <w:b w:val="0"/>
                <w:bCs w:val="0"/>
                <w:i w:val="0"/>
                <w:iCs w:val="0"/>
                <w:caps w:val="0"/>
                <w:smallCaps w:val="0"/>
                <w:color w:val="111111"/>
                <w:spacing w:val="8"/>
                <w:sz w:val="21"/>
                <w:szCs w:val="21"/>
              </w:rPr>
              <w:t>）对软骨细胞的影响被</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的异位表达部分逆转。更重要的是，在前交叉韧带横断（</w:t>
            </w:r>
            <w:r>
              <w:rPr>
                <w:rStyle w:val="any"/>
                <w:rFonts w:ascii="Tahoma" w:eastAsia="Tahoma" w:hAnsi="Tahoma" w:cs="Tahoma"/>
                <w:b w:val="0"/>
                <w:bCs w:val="0"/>
                <w:i w:val="0"/>
                <w:iCs w:val="0"/>
                <w:caps w:val="0"/>
                <w:smallCaps w:val="0"/>
                <w:color w:val="111111"/>
                <w:spacing w:val="8"/>
                <w:sz w:val="21"/>
                <w:szCs w:val="21"/>
              </w:rPr>
              <w:t>ACLT</w:t>
            </w:r>
            <w:r>
              <w:rPr>
                <w:rStyle w:val="any"/>
                <w:rFonts w:ascii="PMingLiU" w:eastAsia="PMingLiU" w:hAnsi="PMingLiU" w:cs="PMingLiU"/>
                <w:b w:val="0"/>
                <w:bCs w:val="0"/>
                <w:i w:val="0"/>
                <w:iCs w:val="0"/>
                <w:caps w:val="0"/>
                <w:smallCaps w:val="0"/>
                <w:color w:val="111111"/>
                <w:spacing w:val="8"/>
                <w:sz w:val="21"/>
                <w:szCs w:val="21"/>
              </w:rPr>
              <w:t>）诱导的大鼠</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模型中，关节内注射</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腺病毒显著缓解了</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的进展和细胞凋亡。综上所述，瘦素抑制</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的表达可能参与软骨细胞</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的产生和凋亡，从而参与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的发病机制。</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杭州萧山中华医院骨科。</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浙江中医大学附属江南医院骨科，杭州，</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浙江中医药大学，杭州，</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浙江省骨科创伤研究所，杭州，</w:t>
            </w:r>
            <w:r>
              <w:rPr>
                <w:rStyle w:val="any"/>
                <w:rFonts w:ascii="Tahoma" w:eastAsia="Tahoma" w:hAnsi="Tahoma" w:cs="Tahoma"/>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浙江大学医学院附属第二医院骨科，杭州，</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浙江中医药大学附属第一医院骨科，杭州，</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PLoS One</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WB</w:t>
            </w:r>
            <w:r>
              <w:rPr>
                <w:rStyle w:val="any"/>
                <w:rFonts w:ascii="PMingLiU" w:eastAsia="PMingLiU" w:hAnsi="PMingLiU" w:cs="PMingLiU"/>
                <w:b w:val="0"/>
                <w:bCs w:val="0"/>
                <w:i w:val="0"/>
                <w:iCs w:val="0"/>
                <w:caps w:val="0"/>
                <w:smallCaps w:val="0"/>
                <w:color w:val="111111"/>
                <w:spacing w:val="8"/>
                <w:sz w:val="21"/>
                <w:szCs w:val="21"/>
              </w:rPr>
              <w:t>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本文</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发表后，人们对图</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以及是否符合</w:t>
            </w:r>
            <w:r>
              <w:rPr>
                <w:rStyle w:val="any"/>
                <w:rFonts w:ascii="Tahoma" w:eastAsia="Tahoma" w:hAnsi="Tahoma" w:cs="Tahoma"/>
                <w:b w:val="0"/>
                <w:bCs w:val="0"/>
                <w:i w:val="0"/>
                <w:iCs w:val="0"/>
                <w:caps w:val="0"/>
                <w:smallCaps w:val="0"/>
                <w:color w:val="111111"/>
                <w:spacing w:val="8"/>
                <w:sz w:val="21"/>
                <w:szCs w:val="21"/>
              </w:rPr>
              <w:t>PLOS</w:t>
            </w:r>
            <w:r>
              <w:rPr>
                <w:rStyle w:val="any"/>
                <w:rFonts w:ascii="PMingLiU" w:eastAsia="PMingLiU" w:hAnsi="PMingLiU" w:cs="PMingLiU"/>
                <w:b w:val="0"/>
                <w:bCs w:val="0"/>
                <w:i w:val="0"/>
                <w:iCs w:val="0"/>
                <w:caps w:val="0"/>
                <w:smallCaps w:val="0"/>
                <w:color w:val="111111"/>
                <w:spacing w:val="8"/>
                <w:sz w:val="21"/>
                <w:szCs w:val="21"/>
              </w:rPr>
              <w:t>动物研究政策表示担忧。具体来说：图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UCP4</w:t>
            </w:r>
            <w:r>
              <w:rPr>
                <w:rStyle w:val="any"/>
                <w:rFonts w:ascii="PMingLiU" w:eastAsia="PMingLiU" w:hAnsi="PMingLiU" w:cs="PMingLiU"/>
                <w:b w:val="0"/>
                <w:bCs w:val="0"/>
                <w:i w:val="0"/>
                <w:iCs w:val="0"/>
                <w:caps w:val="0"/>
                <w:smallCaps w:val="0"/>
                <w:color w:val="111111"/>
                <w:spacing w:val="8"/>
                <w:sz w:val="21"/>
                <w:szCs w:val="21"/>
              </w:rPr>
              <w:t>面板与</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图</w:t>
            </w:r>
            <w:r>
              <w:rPr>
                <w:rStyle w:val="any"/>
                <w:rFonts w:ascii="Tahoma" w:eastAsia="Tahoma" w:hAnsi="Tahoma" w:cs="Tahoma"/>
                <w:b w:val="0"/>
                <w:bCs w:val="0"/>
                <w:i w:val="0"/>
                <w:iCs w:val="0"/>
                <w:caps w:val="0"/>
                <w:smallCaps w:val="0"/>
                <w:color w:val="111111"/>
                <w:spacing w:val="8"/>
                <w:sz w:val="21"/>
                <w:szCs w:val="21"/>
              </w:rPr>
              <w:t>4C</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面板和</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图</w:t>
            </w:r>
            <w:r>
              <w:rPr>
                <w:rStyle w:val="any"/>
                <w:rFonts w:ascii="Tahoma" w:eastAsia="Tahoma" w:hAnsi="Tahoma" w:cs="Tahoma"/>
                <w:b w:val="0"/>
                <w:bCs w:val="0"/>
                <w:i w:val="0"/>
                <w:iCs w:val="0"/>
                <w:caps w:val="0"/>
                <w:smallCaps w:val="0"/>
                <w:color w:val="111111"/>
                <w:spacing w:val="8"/>
                <w:sz w:val="21"/>
                <w:szCs w:val="21"/>
              </w:rPr>
              <w:t>6B</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面板相似。当纵横比改变时，图</w:t>
            </w:r>
            <w:r>
              <w:rPr>
                <w:rStyle w:val="any"/>
                <w:rFonts w:ascii="Tahoma" w:eastAsia="Tahoma" w:hAnsi="Tahoma" w:cs="Tahoma"/>
                <w:b w:val="0"/>
                <w:bCs w:val="0"/>
                <w:i w:val="0"/>
                <w:iCs w:val="0"/>
                <w:caps w:val="0"/>
                <w:smallCaps w:val="0"/>
                <w:color w:val="111111"/>
                <w:spacing w:val="8"/>
                <w:sz w:val="21"/>
                <w:szCs w:val="21"/>
              </w:rPr>
              <w:t>4B</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GAPDH</w:t>
            </w:r>
            <w:r>
              <w:rPr>
                <w:rStyle w:val="any"/>
                <w:rFonts w:ascii="PMingLiU" w:eastAsia="PMingLiU" w:hAnsi="PMingLiU" w:cs="PMingLiU"/>
                <w:b w:val="0"/>
                <w:bCs w:val="0"/>
                <w:i w:val="0"/>
                <w:iCs w:val="0"/>
                <w:caps w:val="0"/>
                <w:smallCaps w:val="0"/>
                <w:color w:val="111111"/>
                <w:spacing w:val="8"/>
                <w:sz w:val="21"/>
                <w:szCs w:val="21"/>
              </w:rPr>
              <w:t>面板与</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中图</w:t>
            </w:r>
            <w:r>
              <w:rPr>
                <w:rStyle w:val="any"/>
                <w:rFonts w:ascii="Tahoma" w:eastAsia="Tahoma" w:hAnsi="Tahoma" w:cs="Tahoma"/>
                <w:b w:val="0"/>
                <w:bCs w:val="0"/>
                <w:i w:val="0"/>
                <w:iCs w:val="0"/>
                <w:caps w:val="0"/>
                <w:smallCaps w:val="0"/>
                <w:color w:val="111111"/>
                <w:spacing w:val="8"/>
                <w:sz w:val="21"/>
                <w:szCs w:val="21"/>
              </w:rPr>
              <w:t>2B</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GAPDA</w:t>
            </w:r>
            <w:r>
              <w:rPr>
                <w:rStyle w:val="any"/>
                <w:rFonts w:ascii="PMingLiU" w:eastAsia="PMingLiU" w:hAnsi="PMingLiU" w:cs="PMingLiU"/>
                <w:b w:val="0"/>
                <w:bCs w:val="0"/>
                <w:i w:val="0"/>
                <w:iCs w:val="0"/>
                <w:caps w:val="0"/>
                <w:smallCaps w:val="0"/>
                <w:color w:val="111111"/>
                <w:spacing w:val="8"/>
                <w:sz w:val="21"/>
                <w:szCs w:val="21"/>
              </w:rPr>
              <w:t>面板相似。图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GAPDH</w:t>
            </w:r>
            <w:r>
              <w:rPr>
                <w:rStyle w:val="any"/>
                <w:rFonts w:ascii="PMingLiU" w:eastAsia="PMingLiU" w:hAnsi="PMingLiU" w:cs="PMingLiU"/>
                <w:b w:val="0"/>
                <w:bCs w:val="0"/>
                <w:i w:val="0"/>
                <w:iCs w:val="0"/>
                <w:caps w:val="0"/>
                <w:smallCaps w:val="0"/>
                <w:color w:val="111111"/>
                <w:spacing w:val="8"/>
                <w:sz w:val="21"/>
                <w:szCs w:val="21"/>
              </w:rPr>
              <w:t>面板与</w:t>
            </w:r>
            <w:r>
              <w:rPr>
                <w:rStyle w:val="any"/>
                <w:rFonts w:ascii="Tahoma" w:eastAsia="Tahoma" w:hAnsi="Tahoma" w:cs="Tahoma"/>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中图</w:t>
            </w:r>
            <w:r>
              <w:rPr>
                <w:rStyle w:val="any"/>
                <w:rFonts w:ascii="Tahoma" w:eastAsia="Tahoma" w:hAnsi="Tahoma" w:cs="Tahoma"/>
                <w:b w:val="0"/>
                <w:bCs w:val="0"/>
                <w:i w:val="0"/>
                <w:iCs w:val="0"/>
                <w:caps w:val="0"/>
                <w:smallCaps w:val="0"/>
                <w:color w:val="111111"/>
                <w:spacing w:val="8"/>
                <w:sz w:val="21"/>
                <w:szCs w:val="21"/>
              </w:rPr>
              <w:t>9e</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GAPDA</w:t>
            </w:r>
            <w:r>
              <w:rPr>
                <w:rStyle w:val="any"/>
                <w:rFonts w:ascii="PMingLiU" w:eastAsia="PMingLiU" w:hAnsi="PMingLiU" w:cs="PMingLiU"/>
                <w:b w:val="0"/>
                <w:bCs w:val="0"/>
                <w:i w:val="0"/>
                <w:iCs w:val="0"/>
                <w:caps w:val="0"/>
                <w:smallCaps w:val="0"/>
                <w:color w:val="111111"/>
                <w:spacing w:val="8"/>
                <w:sz w:val="21"/>
                <w:szCs w:val="21"/>
              </w:rPr>
              <w:t>面板相似。在图</w:t>
            </w:r>
            <w:r>
              <w:rPr>
                <w:rStyle w:val="any"/>
                <w:rFonts w:ascii="Tahoma" w:eastAsia="Tahoma" w:hAnsi="Tahoma" w:cs="Tahoma"/>
                <w:b w:val="0"/>
                <w:bCs w:val="0"/>
                <w:i w:val="0"/>
                <w:iCs w:val="0"/>
                <w:caps w:val="0"/>
                <w:smallCaps w:val="0"/>
                <w:color w:val="111111"/>
                <w:spacing w:val="8"/>
                <w:sz w:val="21"/>
                <w:szCs w:val="21"/>
              </w:rPr>
              <w:t>5E</w:t>
            </w:r>
            <w:r>
              <w:rPr>
                <w:rStyle w:val="any"/>
                <w:rFonts w:ascii="PMingLiU" w:eastAsia="PMingLiU" w:hAnsi="PMingLiU" w:cs="PMingLiU"/>
                <w:b w:val="0"/>
                <w:bCs w:val="0"/>
                <w:i w:val="0"/>
                <w:iCs w:val="0"/>
                <w:caps w:val="0"/>
                <w:smallCaps w:val="0"/>
                <w:color w:val="111111"/>
                <w:spacing w:val="8"/>
                <w:sz w:val="21"/>
                <w:szCs w:val="21"/>
              </w:rPr>
              <w:t>中，当调整颜色水平以显示背景时，</w:t>
            </w:r>
            <w:r>
              <w:rPr>
                <w:rStyle w:val="any"/>
                <w:rFonts w:ascii="Tahoma" w:eastAsia="Tahoma" w:hAnsi="Tahoma" w:cs="Tahoma"/>
                <w:b w:val="0"/>
                <w:bCs w:val="0"/>
                <w:i w:val="0"/>
                <w:iCs w:val="0"/>
                <w:caps w:val="0"/>
                <w:smallCaps w:val="0"/>
                <w:color w:val="111111"/>
                <w:spacing w:val="8"/>
                <w:sz w:val="21"/>
                <w:szCs w:val="21"/>
              </w:rPr>
              <w:t>Cleaved Caspase-3</w:t>
            </w:r>
            <w:r>
              <w:rPr>
                <w:rStyle w:val="any"/>
                <w:rFonts w:ascii="PMingLiU" w:eastAsia="PMingLiU" w:hAnsi="PMingLiU" w:cs="PMingLiU"/>
                <w:b w:val="0"/>
                <w:bCs w:val="0"/>
                <w:i w:val="0"/>
                <w:iCs w:val="0"/>
                <w:caps w:val="0"/>
                <w:smallCaps w:val="0"/>
                <w:color w:val="111111"/>
                <w:spacing w:val="8"/>
                <w:sz w:val="21"/>
                <w:szCs w:val="21"/>
              </w:rPr>
              <w:t>面板中的</w:t>
            </w:r>
            <w:r>
              <w:rPr>
                <w:rStyle w:val="any"/>
                <w:rFonts w:ascii="Tahoma" w:eastAsia="Tahoma" w:hAnsi="Tahoma" w:cs="Tahoma"/>
                <w:b w:val="0"/>
                <w:bCs w:val="0"/>
                <w:i w:val="0"/>
                <w:iCs w:val="0"/>
                <w:caps w:val="0"/>
                <w:smallCaps w:val="0"/>
                <w:color w:val="111111"/>
                <w:spacing w:val="8"/>
                <w:sz w:val="21"/>
                <w:szCs w:val="21"/>
              </w:rPr>
              <w:t>1-2</w:t>
            </w:r>
            <w:r>
              <w:rPr>
                <w:rStyle w:val="any"/>
                <w:rFonts w:ascii="PMingLiU" w:eastAsia="PMingLiU" w:hAnsi="PMingLiU" w:cs="PMingLiU"/>
                <w:b w:val="0"/>
                <w:bCs w:val="0"/>
                <w:i w:val="0"/>
                <w:iCs w:val="0"/>
                <w:caps w:val="0"/>
                <w:smallCaps w:val="0"/>
                <w:color w:val="111111"/>
                <w:spacing w:val="8"/>
                <w:sz w:val="21"/>
                <w:szCs w:val="21"/>
              </w:rPr>
              <w:t>通道、</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面板中的</w:t>
            </w:r>
            <w:r>
              <w:rPr>
                <w:rStyle w:val="any"/>
                <w:rFonts w:ascii="Tahoma" w:eastAsia="Tahoma" w:hAnsi="Tahoma" w:cs="Tahoma"/>
                <w:b w:val="0"/>
                <w:bCs w:val="0"/>
                <w:i w:val="0"/>
                <w:iCs w:val="0"/>
                <w:caps w:val="0"/>
                <w:smallCaps w:val="0"/>
                <w:color w:val="111111"/>
                <w:spacing w:val="8"/>
                <w:sz w:val="21"/>
                <w:szCs w:val="21"/>
              </w:rPr>
              <w:t>2-2</w:t>
            </w:r>
            <w:r>
              <w:rPr>
                <w:rStyle w:val="any"/>
                <w:rFonts w:ascii="PMingLiU" w:eastAsia="PMingLiU" w:hAnsi="PMingLiU" w:cs="PMingLiU"/>
                <w:b w:val="0"/>
                <w:bCs w:val="0"/>
                <w:i w:val="0"/>
                <w:iCs w:val="0"/>
                <w:caps w:val="0"/>
                <w:smallCaps w:val="0"/>
                <w:color w:val="111111"/>
                <w:spacing w:val="8"/>
                <w:sz w:val="21"/>
                <w:szCs w:val="21"/>
              </w:rPr>
              <w:t>通道和</w:t>
            </w:r>
            <w:r>
              <w:rPr>
                <w:rStyle w:val="any"/>
                <w:rFonts w:ascii="Tahoma" w:eastAsia="Tahoma" w:hAnsi="Tahoma" w:cs="Tahoma"/>
                <w:b w:val="0"/>
                <w:bCs w:val="0"/>
                <w:i w:val="0"/>
                <w:iCs w:val="0"/>
                <w:caps w:val="0"/>
                <w:smallCaps w:val="0"/>
                <w:color w:val="111111"/>
                <w:spacing w:val="8"/>
                <w:sz w:val="21"/>
                <w:szCs w:val="21"/>
              </w:rPr>
              <w:t>PCNA</w:t>
            </w:r>
            <w:r>
              <w:rPr>
                <w:rStyle w:val="any"/>
                <w:rFonts w:ascii="PMingLiU" w:eastAsia="PMingLiU" w:hAnsi="PMingLiU" w:cs="PMingLiU"/>
                <w:b w:val="0"/>
                <w:bCs w:val="0"/>
                <w:i w:val="0"/>
                <w:iCs w:val="0"/>
                <w:caps w:val="0"/>
                <w:smallCaps w:val="0"/>
                <w:color w:val="111111"/>
                <w:spacing w:val="8"/>
                <w:sz w:val="21"/>
                <w:szCs w:val="21"/>
              </w:rPr>
              <w:t>面板的</w:t>
            </w:r>
            <w:r>
              <w:rPr>
                <w:rStyle w:val="any"/>
                <w:rFonts w:ascii="Tahoma" w:eastAsia="Tahoma" w:hAnsi="Tahoma" w:cs="Tahoma"/>
                <w:b w:val="0"/>
                <w:bCs w:val="0"/>
                <w:i w:val="0"/>
                <w:iCs w:val="0"/>
                <w:caps w:val="0"/>
                <w:smallCaps w:val="0"/>
                <w:color w:val="111111"/>
                <w:spacing w:val="8"/>
                <w:sz w:val="21"/>
                <w:szCs w:val="21"/>
              </w:rPr>
              <w:t>2-3</w:t>
            </w:r>
            <w:r>
              <w:rPr>
                <w:rStyle w:val="any"/>
                <w:rFonts w:ascii="PMingLiU" w:eastAsia="PMingLiU" w:hAnsi="PMingLiU" w:cs="PMingLiU"/>
                <w:b w:val="0"/>
                <w:bCs w:val="0"/>
                <w:i w:val="0"/>
                <w:iCs w:val="0"/>
                <w:caps w:val="0"/>
                <w:smallCaps w:val="0"/>
                <w:color w:val="111111"/>
                <w:spacing w:val="8"/>
                <w:sz w:val="21"/>
                <w:szCs w:val="21"/>
              </w:rPr>
              <w:t>通道之间似乎存在垂直不连续性。通讯作者承认，数据中存在不一致之处，他们无法通过后续实验验证或复制数据。没有提供任何基础数据，因此这些问题仍未得到解决。通讯作者还表示，他们在</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中发现了与遵守动物福利标准有关的问题，特别是使用</w:t>
            </w:r>
            <w:r>
              <w:rPr>
                <w:rStyle w:val="any"/>
                <w:rFonts w:ascii="Tahoma" w:eastAsia="Tahoma" w:hAnsi="Tahoma" w:cs="Tahoma"/>
                <w:b w:val="0"/>
                <w:bCs w:val="0"/>
                <w:i w:val="0"/>
                <w:iCs w:val="0"/>
                <w:caps w:val="0"/>
                <w:smallCaps w:val="0"/>
                <w:color w:val="111111"/>
                <w:spacing w:val="8"/>
                <w:sz w:val="21"/>
                <w:szCs w:val="21"/>
              </w:rPr>
              <w:t>10%</w:t>
            </w:r>
            <w:r>
              <w:rPr>
                <w:rStyle w:val="any"/>
                <w:rFonts w:ascii="PMingLiU" w:eastAsia="PMingLiU" w:hAnsi="PMingLiU" w:cs="PMingLiU"/>
                <w:b w:val="0"/>
                <w:bCs w:val="0"/>
                <w:i w:val="0"/>
                <w:iCs w:val="0"/>
                <w:caps w:val="0"/>
                <w:smallCaps w:val="0"/>
                <w:color w:val="111111"/>
                <w:spacing w:val="8"/>
                <w:sz w:val="21"/>
                <w:szCs w:val="21"/>
              </w:rPr>
              <w:t>水合氯醛进行麻醉和采用的安乐死方法可能不完全符合国际公认的标准，他们要求撤回该文章。鉴于上述担忧，并应通讯作者的要求，</w:t>
            </w:r>
            <w:r>
              <w:rPr>
                <w:rStyle w:val="any"/>
                <w:rFonts w:ascii="Tahoma" w:eastAsia="Tahoma" w:hAnsi="Tahoma" w:cs="Tahoma"/>
                <w:b w:val="0"/>
                <w:bCs w:val="0"/>
                <w:i w:val="0"/>
                <w:iCs w:val="0"/>
                <w:caps w:val="0"/>
                <w:smallCaps w:val="0"/>
                <w:color w:val="111111"/>
                <w:spacing w:val="8"/>
                <w:sz w:val="21"/>
                <w:szCs w:val="21"/>
              </w:rPr>
              <w:t>PLOS ONE</w:t>
            </w:r>
            <w:r>
              <w:rPr>
                <w:rStyle w:val="any"/>
                <w:rFonts w:ascii="PMingLiU" w:eastAsia="PMingLiU" w:hAnsi="PMingLiU" w:cs="PMingLiU"/>
                <w:b w:val="0"/>
                <w:bCs w:val="0"/>
                <w:i w:val="0"/>
                <w:iCs w:val="0"/>
                <w:caps w:val="0"/>
                <w:smallCaps w:val="0"/>
                <w:color w:val="111111"/>
                <w:spacing w:val="8"/>
                <w:sz w:val="21"/>
                <w:szCs w:val="21"/>
              </w:rPr>
              <w:t>编辑撤回了这篇文章。</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5139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550" name=""/>
                          <pic:cNvPicPr>
                            <a:picLocks noChangeAspect="1"/>
                          </pic:cNvPicPr>
                        </pic:nvPicPr>
                        <pic:blipFill>
                          <a:blip xmlns:r="http://schemas.openxmlformats.org/officeDocument/2006/relationships" r:embed="rId7"/>
                          <a:stretch>
                            <a:fillRect/>
                          </a:stretch>
                        </pic:blipFill>
                        <pic:spPr>
                          <a:xfrm>
                            <a:off x="0" y="0"/>
                            <a:ext cx="3651313" cy="15139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5373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27134" name=""/>
                          <pic:cNvPicPr>
                            <a:picLocks noChangeAspect="1"/>
                          </pic:cNvPicPr>
                        </pic:nvPicPr>
                        <pic:blipFill>
                          <a:blip xmlns:r="http://schemas.openxmlformats.org/officeDocument/2006/relationships" r:embed="rId8"/>
                          <a:stretch>
                            <a:fillRect/>
                          </a:stretch>
                        </pic:blipFill>
                        <pic:spPr>
                          <a:xfrm>
                            <a:off x="0" y="0"/>
                            <a:ext cx="3654457" cy="153733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1587"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27945"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4951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5068&amp;idx=1&amp;sn=b7baaf6dfae0fc09c7397267ef44b1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