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中山大学附属第三医院肝胆外科</w:t>
        </w:r>
        <w:r>
          <w:rPr>
            <w:rStyle w:val="a"/>
            <w:rFonts w:ascii="Times New Roman" w:eastAsia="Times New Roman" w:hAnsi="Times New Roman" w:cs="Times New Roman"/>
            <w:b w:val="0"/>
            <w:bCs w:val="0"/>
            <w:spacing w:val="8"/>
          </w:rPr>
          <w:t>Mol Oncol</w:t>
        </w:r>
        <w:r>
          <w:rPr>
            <w:rStyle w:val="a"/>
            <w:rFonts w:ascii="PMingLiU" w:eastAsia="PMingLiU" w:hAnsi="PMingLiU" w:cs="PMingLiU"/>
            <w:b w:val="0"/>
            <w:bCs w:val="0"/>
            <w:spacing w:val="8"/>
          </w:rPr>
          <w:t>论文编辑丧失信心遭撤回</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PMingLiU" w:eastAsia="PMingLiU" w:hAnsi="PMingLiU" w:cs="PMingLiU"/>
          <w:color w:val="A5A5A5"/>
          <w:spacing w:val="8"/>
        </w:rPr>
        <w:t>碰到撤稿不用慌</w:t>
      </w:r>
      <w:hyperlink r:id="rId5" w:history="1">
        <w:bookmarkStart w:id="0" w:name="js_name"/>
        <w:r>
          <w:rPr>
            <w:rStyle w:val="a"/>
            <w:rFonts w:ascii="PMingLiU" w:eastAsia="PMingLiU" w:hAnsi="PMingLiU" w:cs="PMingLiU"/>
            <w:spacing w:val="8"/>
            <w:sz w:val="23"/>
            <w:szCs w:val="23"/>
          </w:rPr>
          <w:t>碰到撤稿不用慌</w:t>
        </w:r>
      </w:hyperlink>
      <w:bookmarkEnd w:id="0"/>
      <w:r>
        <w:rPr>
          <w:rStyle w:val="richmediametalistem"/>
          <w:rFonts w:ascii="Times New Roman" w:eastAsia="Times New Roman" w:hAnsi="Times New Roman" w:cs="Times New Roman"/>
          <w:color w:val="A5A5A5"/>
          <w:spacing w:val="8"/>
          <w:sz w:val="23"/>
          <w:szCs w:val="23"/>
        </w:rPr>
        <w:t>2025-05-06 09:02:12</w:t>
      </w:r>
      <w:r>
        <w:rPr>
          <w:rStyle w:val="richmediametalistem"/>
          <w:rFonts w:ascii="PMingLiU" w:eastAsia="PMingLiU" w:hAnsi="PMingLiU" w:cs="PMingLiU"/>
          <w:color w:val="A5A5A5"/>
          <w:spacing w:val="8"/>
          <w:sz w:val="23"/>
          <w:szCs w:val="23"/>
        </w:rPr>
        <w:t>湖北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tbl>
      <w:tblPr>
        <w:tblStyle w:val="table"/>
        <w:tblW w:w="5000" w:type="pct"/>
        <w:tblInd w:w="455" w:type="dxa"/>
        <w:tblCellMar>
          <w:top w:w="0" w:type="dxa"/>
          <w:left w:w="0" w:type="dxa"/>
          <w:bottom w:w="0" w:type="dxa"/>
          <w:right w:w="0" w:type="dxa"/>
        </w:tblCellMar>
        <w:tblLook w:val="05E0"/>
      </w:tblPr>
      <w:tblGrid>
        <w:gridCol w:w="2410"/>
        <w:gridCol w:w="29270"/>
      </w:tblGrid>
      <w:tr>
        <w:tblPrEx>
          <w:tblW w:w="5000" w:type="pct"/>
          <w:tblInd w:w="455" w:type="dxa"/>
          <w:tblCellMar>
            <w:top w:w="0" w:type="dxa"/>
            <w:left w:w="0" w:type="dxa"/>
            <w:bottom w:w="0" w:type="dxa"/>
            <w:right w:w="0" w:type="dxa"/>
          </w:tblCellMar>
          <w:tblLook w:val="05E0"/>
        </w:tblPrEx>
        <w:trPr>
          <w:trHeight w:val="2189"/>
        </w:trPr>
        <w:tc>
          <w:tcPr>
            <w:tcW w:w="8820" w:type="dxa"/>
            <w:gridSpan w:val="2"/>
            <w:noWrap w:val="0"/>
            <w:tcMar>
              <w:top w:w="80" w:type="dxa"/>
              <w:left w:w="155" w:type="dxa"/>
              <w:bottom w:w="80"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eastAsia="Times New Roman" w:hAnsi="Times New Roman" w:cs="Times New Roman"/>
                <w:b w:val="0"/>
                <w:bCs w:val="0"/>
                <w:i w:val="0"/>
                <w:iCs w:val="0"/>
                <w:smallCaps w:val="0"/>
                <w:color w:val="000000"/>
                <w:spacing w:val="8"/>
              </w:rPr>
              <w:t> </w:t>
            </w:r>
          </w:p>
          <w:p>
            <w:pPr>
              <w:pStyle w:val="p"/>
              <w:pBdr>
                <w:top w:val="none" w:sz="0" w:space="0" w:color="auto"/>
                <w:left w:val="none" w:sz="0" w:space="0" w:color="auto"/>
                <w:bottom w:val="none" w:sz="0" w:space="0" w:color="auto"/>
                <w:right w:val="none" w:sz="0" w:space="0" w:color="auto"/>
              </w:pBdr>
              <w:spacing w:before="0" w:after="0"/>
              <w:ind w:left="0" w:right="0" w:firstLine="0"/>
              <w:jc w:val="center"/>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strike w:val="0"/>
                <w:color w:val="000000"/>
                <w:spacing w:val="8"/>
                <w:u w:val="none"/>
              </w:rPr>
              <w:drawing>
                <wp:inline>
                  <wp:extent cx="5302948" cy="993743"/>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473064" name=""/>
                          <pic:cNvPicPr>
                            <a:picLocks noChangeAspect="1"/>
                          </pic:cNvPicPr>
                        </pic:nvPicPr>
                        <pic:blipFill>
                          <a:blip xmlns:r="http://schemas.openxmlformats.org/officeDocument/2006/relationships" r:embed="rId6"/>
                          <a:stretch>
                            <a:fillRect/>
                          </a:stretch>
                        </pic:blipFill>
                        <pic:spPr>
                          <a:xfrm>
                            <a:off x="0" y="0"/>
                            <a:ext cx="5302948" cy="993743"/>
                          </a:xfrm>
                          <a:prstGeom prst="rect">
                            <a:avLst/>
                          </a:prstGeom>
                        </pic:spPr>
                      </pic:pic>
                    </a:graphicData>
                  </a:graphic>
                </wp:inline>
              </w:drawing>
            </w:r>
          </w:p>
        </w:tc>
      </w:tr>
      <w:tr>
        <w:tblPrEx>
          <w:tblW w:w="5000" w:type="pct"/>
          <w:tblInd w:w="455" w:type="dxa"/>
          <w:tblCellMar>
            <w:top w:w="0" w:type="dxa"/>
            <w:left w:w="0" w:type="dxa"/>
            <w:bottom w:w="0" w:type="dxa"/>
            <w:right w:w="0" w:type="dxa"/>
          </w:tblCellMar>
          <w:tblLook w:val="05E0"/>
        </w:tblPrEx>
        <w:trPr>
          <w:trHeight w:val="684"/>
        </w:trPr>
        <w:tc>
          <w:tcPr>
            <w:tcW w:w="8820" w:type="dxa"/>
            <w:gridSpan w:val="2"/>
            <w:noWrap w:val="0"/>
            <w:tcMar>
              <w:top w:w="80" w:type="dxa"/>
              <w:left w:w="155" w:type="dxa"/>
              <w:bottom w:w="80"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center"/>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rPr>
              <w:t>中山大学附属第三医院肝胆外科</w:t>
            </w:r>
            <w:r>
              <w:rPr>
                <w:rStyle w:val="any"/>
                <w:b/>
                <w:bCs/>
                <w:i w:val="0"/>
                <w:iCs w:val="0"/>
                <w:caps w:val="0"/>
                <w:smallCaps w:val="0"/>
                <w:color w:val="000000"/>
                <w:spacing w:val="8"/>
                <w:sz w:val="28"/>
                <w:szCs w:val="28"/>
              </w:rPr>
              <w:t>Mol Oncol</w:t>
            </w:r>
            <w:r>
              <w:rPr>
                <w:rStyle w:val="any"/>
                <w:rFonts w:ascii="PMingLiU" w:eastAsia="PMingLiU" w:hAnsi="PMingLiU" w:cs="PMingLiU"/>
                <w:b/>
                <w:bCs/>
                <w:i w:val="0"/>
                <w:iCs w:val="0"/>
                <w:caps w:val="0"/>
                <w:smallCaps w:val="0"/>
                <w:color w:val="000000"/>
                <w:spacing w:val="8"/>
                <w:sz w:val="28"/>
                <w:szCs w:val="28"/>
              </w:rPr>
              <w:t>论文编辑丧失信心遭撤回</w:t>
            </w:r>
          </w:p>
        </w:tc>
      </w:tr>
      <w:tr>
        <w:tblPrEx>
          <w:tblW w:w="5000" w:type="pct"/>
          <w:tblInd w:w="455" w:type="dxa"/>
          <w:tblCellMar>
            <w:top w:w="0" w:type="dxa"/>
            <w:left w:w="0" w:type="dxa"/>
            <w:bottom w:w="0" w:type="dxa"/>
            <w:right w:w="0" w:type="dxa"/>
          </w:tblCellMar>
          <w:tblLook w:val="05E0"/>
        </w:tblPrEx>
        <w:trPr>
          <w:trHeight w:val="487"/>
        </w:trPr>
        <w:tc>
          <w:tcPr>
            <w:tcW w:w="8820" w:type="dxa"/>
            <w:gridSpan w:val="2"/>
            <w:tcBorders>
              <w:bottom w:val="single" w:sz="8" w:space="0" w:color="DDDDDD"/>
            </w:tcBorders>
            <w:noWrap w:val="0"/>
            <w:tcMar>
              <w:top w:w="80" w:type="dxa"/>
              <w:left w:w="155" w:type="dxa"/>
              <w:bottom w:w="85"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center"/>
              <w:rPr>
                <w:rStyle w:val="any"/>
                <w:rFonts w:ascii="Calibri" w:eastAsia="Calibri" w:hAnsi="Calibri" w:cs="Calibri"/>
                <w:b w:val="0"/>
                <w:bCs w:val="0"/>
                <w:i w:val="0"/>
                <w:iCs w:val="0"/>
                <w:smallCaps w:val="0"/>
                <w:color w:val="000000"/>
                <w:spacing w:val="8"/>
              </w:rPr>
            </w:pPr>
            <w:r>
              <w:rPr>
                <w:rStyle w:val="any"/>
                <w:rFonts w:ascii="黑体" w:eastAsia="黑体" w:hAnsi="黑体" w:cs="黑体"/>
                <w:b/>
                <w:bCs/>
                <w:i w:val="0"/>
                <w:iCs w:val="0"/>
                <w:caps w:val="0"/>
                <w:smallCaps w:val="0"/>
                <w:color w:val="11428A"/>
                <w:spacing w:val="8"/>
                <w:sz w:val="30"/>
                <w:szCs w:val="30"/>
                <w:vertAlign w:val="baseline"/>
              </w:rPr>
              <w:t>论 文 概 况</w:t>
            </w:r>
          </w:p>
        </w:tc>
      </w:tr>
      <w:tr>
        <w:tblPrEx>
          <w:tblW w:w="5000" w:type="pct"/>
          <w:tblInd w:w="455" w:type="dxa"/>
          <w:tblCellMar>
            <w:top w:w="0" w:type="dxa"/>
            <w:left w:w="0" w:type="dxa"/>
            <w:bottom w:w="0" w:type="dxa"/>
            <w:right w:w="0" w:type="dxa"/>
          </w:tblCellMar>
          <w:tblLook w:val="05E0"/>
        </w:tblPrEx>
        <w:trPr>
          <w:trHeight w:val="487"/>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论文题目（英文）</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Heading1"/>
              <w:keepNext w:val="0"/>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hAnsi="Times New Roman" w:cs="Times New Roman"/>
                <w:b w:val="0"/>
                <w:bCs w:val="0"/>
                <w:i w:val="0"/>
                <w:iCs w:val="0"/>
                <w:caps w:val="0"/>
                <w:smallCaps w:val="0"/>
                <w:color w:val="000000"/>
                <w:spacing w:val="8"/>
                <w:kern w:val="36"/>
                <w:sz w:val="21"/>
                <w:szCs w:val="21"/>
              </w:rPr>
              <w:t>lncRNA-PDPK2P promotes hepatocellular carcinoma progression through the PDK1/AKT/Caspase 3 pathway </w:t>
            </w:r>
          </w:p>
        </w:tc>
      </w:tr>
      <w:tr>
        <w:tblPrEx>
          <w:tblW w:w="5000" w:type="pct"/>
          <w:tblInd w:w="455" w:type="dxa"/>
          <w:tblCellMar>
            <w:top w:w="0" w:type="dxa"/>
            <w:left w:w="0" w:type="dxa"/>
            <w:bottom w:w="0" w:type="dxa"/>
            <w:right w:w="0" w:type="dxa"/>
          </w:tblCellMar>
          <w:tblLook w:val="05E0"/>
        </w:tblPrEx>
        <w:trPr>
          <w:trHeight w:val="438"/>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论文题目（中文）</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b w:val="0"/>
                <w:bCs w:val="0"/>
                <w:i w:val="0"/>
                <w:iCs w:val="0"/>
                <w:caps w:val="0"/>
                <w:smallCaps w:val="0"/>
                <w:color w:val="111111"/>
                <w:spacing w:val="8"/>
                <w:sz w:val="21"/>
                <w:szCs w:val="21"/>
              </w:rPr>
              <w:t>lncRNA-PDPK2P</w:t>
            </w:r>
            <w:r>
              <w:rPr>
                <w:rStyle w:val="any"/>
                <w:rFonts w:ascii="PMingLiU" w:eastAsia="PMingLiU" w:hAnsi="PMingLiU" w:cs="PMingLiU"/>
                <w:b w:val="0"/>
                <w:bCs w:val="0"/>
                <w:i w:val="0"/>
                <w:iCs w:val="0"/>
                <w:caps w:val="0"/>
                <w:smallCaps w:val="0"/>
                <w:color w:val="111111"/>
                <w:spacing w:val="8"/>
                <w:sz w:val="21"/>
                <w:szCs w:val="21"/>
              </w:rPr>
              <w:t>通过</w:t>
            </w:r>
            <w:r>
              <w:rPr>
                <w:rStyle w:val="any"/>
                <w:b w:val="0"/>
                <w:bCs w:val="0"/>
                <w:i w:val="0"/>
                <w:iCs w:val="0"/>
                <w:caps w:val="0"/>
                <w:smallCaps w:val="0"/>
                <w:color w:val="111111"/>
                <w:spacing w:val="8"/>
                <w:sz w:val="21"/>
                <w:szCs w:val="21"/>
              </w:rPr>
              <w:t>PDK1/AKT/Capase 3</w:t>
            </w:r>
            <w:r>
              <w:rPr>
                <w:rStyle w:val="any"/>
                <w:rFonts w:ascii="PMingLiU" w:eastAsia="PMingLiU" w:hAnsi="PMingLiU" w:cs="PMingLiU"/>
                <w:b w:val="0"/>
                <w:bCs w:val="0"/>
                <w:i w:val="0"/>
                <w:iCs w:val="0"/>
                <w:caps w:val="0"/>
                <w:smallCaps w:val="0"/>
                <w:color w:val="111111"/>
                <w:spacing w:val="8"/>
                <w:sz w:val="21"/>
                <w:szCs w:val="21"/>
              </w:rPr>
              <w:t>途径促进肝细胞癌的进展</w:t>
            </w:r>
          </w:p>
        </w:tc>
      </w:tr>
      <w:tr>
        <w:tblPrEx>
          <w:tblW w:w="5000" w:type="pct"/>
          <w:tblInd w:w="455" w:type="dxa"/>
          <w:tblCellMar>
            <w:top w:w="0" w:type="dxa"/>
            <w:left w:w="0" w:type="dxa"/>
            <w:bottom w:w="0" w:type="dxa"/>
            <w:right w:w="0" w:type="dxa"/>
          </w:tblCellMar>
          <w:tblLook w:val="05E0"/>
        </w:tblPrEx>
        <w:trPr>
          <w:trHeight w:val="6043"/>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论文内容概要</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Heading1"/>
              <w:keepNext w:val="0"/>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宋体" w:eastAsia="宋体" w:hAnsi="宋体" w:cs="宋体"/>
                <w:b w:val="0"/>
                <w:bCs w:val="0"/>
                <w:i w:val="0"/>
                <w:iCs w:val="0"/>
                <w:caps w:val="0"/>
                <w:smallCaps w:val="0"/>
                <w:color w:val="000000"/>
                <w:spacing w:val="8"/>
                <w:kern w:val="36"/>
                <w:sz w:val="21"/>
                <w:szCs w:val="21"/>
              </w:rPr>
              <w:t>肝细胞癌（HCC）是一种预后最差的恶性肿瘤之一。长链非编码RNA（lncRNA）作为一种重要的基因表达和功能调节因子，导致癌症的发展。本研究旨在确定lncRNA与HCC之间的关系，并进一步指导临床治疗。筛选HCC和邻近组织中的lncRNA，并评估肝组织中lncRNA-PDPK2P表达与HCC病理特征和严重程度之间的相关性。还分别通过CCK-8测定、流式细胞术、划痕愈合和transwell测定系统研究了PDPK2P对HCC增殖、凋亡、转移和侵袭的影响。通过RNA下拉、救援实验和蛋白质印迹验证了PDPK2P和PDK1之间的关系。lncRNA-PDPK2P在HCC组织中高度表达，PDPK2P和PDK1之间存在明显的正相关关系，这种上调在临床上与较大的肿瘤栓子、低分化和较差的生存率有关。从机制上讲，lncRNA-PDPK2P与PDK1相互作用，并通过PDK1/AKT/半胱氨酸天冬氨酸蛋白酶3信号通路促进HCC的进展。lncRNA-PDPK2P可以促进HCC的进展，这表明它可能是一种具有临床价值的生物标志物，并可作为肝细胞癌诊断、预后和治疗的分子靶点。</w:t>
            </w:r>
          </w:p>
        </w:tc>
      </w:tr>
      <w:tr>
        <w:tblPrEx>
          <w:tblW w:w="5000" w:type="pct"/>
          <w:tblInd w:w="455" w:type="dxa"/>
          <w:tblCellMar>
            <w:top w:w="0" w:type="dxa"/>
            <w:left w:w="0" w:type="dxa"/>
            <w:bottom w:w="0" w:type="dxa"/>
            <w:right w:w="0" w:type="dxa"/>
          </w:tblCellMar>
          <w:tblLook w:val="05E0"/>
        </w:tblPrEx>
        <w:trPr>
          <w:trHeight w:val="479"/>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作者信息</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Heading1"/>
              <w:keepNext w:val="0"/>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宋体" w:eastAsia="宋体" w:hAnsi="宋体" w:cs="宋体"/>
                <w:b w:val="0"/>
                <w:bCs w:val="0"/>
                <w:i w:val="0"/>
                <w:iCs w:val="0"/>
                <w:caps w:val="0"/>
                <w:smallCaps w:val="0"/>
                <w:color w:val="000000"/>
                <w:spacing w:val="8"/>
                <w:kern w:val="36"/>
                <w:sz w:val="21"/>
                <w:szCs w:val="21"/>
              </w:rPr>
              <w:t>隐去，不公布</w:t>
            </w:r>
          </w:p>
        </w:tc>
      </w:tr>
      <w:tr>
        <w:tblPrEx>
          <w:tblW w:w="5000" w:type="pct"/>
          <w:tblInd w:w="455" w:type="dxa"/>
          <w:tblCellMar>
            <w:top w:w="0" w:type="dxa"/>
            <w:left w:w="0" w:type="dxa"/>
            <w:bottom w:w="0" w:type="dxa"/>
            <w:right w:w="0" w:type="dxa"/>
          </w:tblCellMar>
          <w:tblLook w:val="05E0"/>
        </w:tblPrEx>
        <w:trPr>
          <w:trHeight w:val="404"/>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单位信息</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Heading1"/>
              <w:keepNext w:val="0"/>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hAnsi="Times New Roman" w:cs="Times New Roman"/>
                <w:b w:val="0"/>
                <w:bCs w:val="0"/>
                <w:i w:val="0"/>
                <w:iCs w:val="0"/>
                <w:caps w:val="0"/>
                <w:smallCaps w:val="0"/>
                <w:color w:val="000000"/>
                <w:spacing w:val="8"/>
                <w:kern w:val="36"/>
                <w:sz w:val="21"/>
                <w:szCs w:val="21"/>
              </w:rPr>
              <w:t>1</w:t>
            </w:r>
            <w:r>
              <w:rPr>
                <w:rStyle w:val="any"/>
                <w:rFonts w:ascii="PMingLiU" w:eastAsia="PMingLiU" w:hAnsi="PMingLiU" w:cs="PMingLiU"/>
                <w:b w:val="0"/>
                <w:bCs w:val="0"/>
                <w:i w:val="0"/>
                <w:iCs w:val="0"/>
                <w:caps w:val="0"/>
                <w:smallCaps w:val="0"/>
                <w:color w:val="000000"/>
                <w:spacing w:val="8"/>
                <w:kern w:val="36"/>
                <w:sz w:val="21"/>
                <w:szCs w:val="21"/>
              </w:rPr>
              <w:t>中山大学附属第三医院肝胆外科，广州，</w:t>
            </w:r>
            <w:r>
              <w:rPr>
                <w:rStyle w:val="any"/>
                <w:rFonts w:ascii="Times New Roman" w:hAnsi="Times New Roman" w:cs="Times New Roman"/>
                <w:b w:val="0"/>
                <w:bCs w:val="0"/>
                <w:i w:val="0"/>
                <w:iCs w:val="0"/>
                <w:caps w:val="0"/>
                <w:smallCaps w:val="0"/>
                <w:color w:val="000000"/>
                <w:spacing w:val="8"/>
                <w:kern w:val="36"/>
                <w:sz w:val="21"/>
                <w:szCs w:val="21"/>
              </w:rPr>
              <w:t>2</w:t>
            </w:r>
            <w:r>
              <w:rPr>
                <w:rStyle w:val="any"/>
                <w:rFonts w:ascii="PMingLiU" w:eastAsia="PMingLiU" w:hAnsi="PMingLiU" w:cs="PMingLiU"/>
                <w:b w:val="0"/>
                <w:bCs w:val="0"/>
                <w:i w:val="0"/>
                <w:iCs w:val="0"/>
                <w:caps w:val="0"/>
                <w:smallCaps w:val="0"/>
                <w:color w:val="000000"/>
                <w:spacing w:val="8"/>
                <w:kern w:val="36"/>
                <w:sz w:val="21"/>
                <w:szCs w:val="21"/>
              </w:rPr>
              <w:t>南昌大学第二附属医院肝胆外科，</w:t>
            </w:r>
            <w:r>
              <w:rPr>
                <w:rStyle w:val="any"/>
                <w:rFonts w:ascii="Times New Roman" w:hAnsi="Times New Roman" w:cs="Times New Roman"/>
                <w:b w:val="0"/>
                <w:bCs w:val="0"/>
                <w:i w:val="0"/>
                <w:iCs w:val="0"/>
                <w:caps w:val="0"/>
                <w:smallCaps w:val="0"/>
                <w:color w:val="000000"/>
                <w:spacing w:val="8"/>
                <w:kern w:val="36"/>
                <w:sz w:val="21"/>
                <w:szCs w:val="21"/>
              </w:rPr>
              <w:t>3</w:t>
            </w:r>
            <w:r>
              <w:rPr>
                <w:rStyle w:val="any"/>
                <w:rFonts w:ascii="PMingLiU" w:eastAsia="PMingLiU" w:hAnsi="PMingLiU" w:cs="PMingLiU"/>
                <w:b w:val="0"/>
                <w:bCs w:val="0"/>
                <w:i w:val="0"/>
                <w:iCs w:val="0"/>
                <w:caps w:val="0"/>
                <w:smallCaps w:val="0"/>
                <w:color w:val="000000"/>
                <w:spacing w:val="8"/>
                <w:kern w:val="36"/>
                <w:sz w:val="21"/>
                <w:szCs w:val="21"/>
              </w:rPr>
              <w:t>中山大学第三医院临床免疫科，广州，</w:t>
            </w:r>
            <w:r>
              <w:rPr>
                <w:rStyle w:val="any"/>
                <w:rFonts w:ascii="Times New Roman" w:hAnsi="Times New Roman" w:cs="Times New Roman"/>
                <w:b w:val="0"/>
                <w:bCs w:val="0"/>
                <w:i w:val="0"/>
                <w:iCs w:val="0"/>
                <w:caps w:val="0"/>
                <w:smallCaps w:val="0"/>
                <w:color w:val="000000"/>
                <w:spacing w:val="8"/>
                <w:kern w:val="36"/>
                <w:sz w:val="21"/>
                <w:szCs w:val="21"/>
              </w:rPr>
              <w:t>4</w:t>
            </w:r>
            <w:r>
              <w:rPr>
                <w:rStyle w:val="any"/>
                <w:rFonts w:ascii="PMingLiU" w:eastAsia="PMingLiU" w:hAnsi="PMingLiU" w:cs="PMingLiU"/>
                <w:b w:val="0"/>
                <w:bCs w:val="0"/>
                <w:i w:val="0"/>
                <w:iCs w:val="0"/>
                <w:caps w:val="0"/>
                <w:smallCaps w:val="0"/>
                <w:color w:val="000000"/>
                <w:spacing w:val="8"/>
                <w:kern w:val="36"/>
                <w:sz w:val="21"/>
                <w:szCs w:val="21"/>
              </w:rPr>
              <w:t>美国俄亥俄州哥伦布市俄亥俄州立大学医学院内科。</w:t>
            </w:r>
            <w:r>
              <w:rPr>
                <w:rStyle w:val="any"/>
                <w:rFonts w:ascii="Times New Roman" w:hAnsi="Times New Roman" w:cs="Times New Roman"/>
                <w:b w:val="0"/>
                <w:bCs w:val="0"/>
                <w:i w:val="0"/>
                <w:iCs w:val="0"/>
                <w:caps w:val="0"/>
                <w:smallCaps w:val="0"/>
                <w:color w:val="000000"/>
                <w:spacing w:val="8"/>
                <w:kern w:val="36"/>
                <w:sz w:val="21"/>
                <w:szCs w:val="21"/>
              </w:rPr>
              <w:t>5</w:t>
            </w:r>
            <w:r>
              <w:rPr>
                <w:rStyle w:val="any"/>
                <w:rFonts w:ascii="PMingLiU" w:eastAsia="PMingLiU" w:hAnsi="PMingLiU" w:cs="PMingLiU"/>
                <w:b w:val="0"/>
                <w:bCs w:val="0"/>
                <w:i w:val="0"/>
                <w:iCs w:val="0"/>
                <w:caps w:val="0"/>
                <w:smallCaps w:val="0"/>
                <w:color w:val="000000"/>
                <w:spacing w:val="8"/>
                <w:kern w:val="36"/>
                <w:sz w:val="21"/>
                <w:szCs w:val="21"/>
              </w:rPr>
              <w:t>美国田纳西州孟菲斯市孟菲斯退伍军人医疗中心研究服务部。</w:t>
            </w:r>
          </w:p>
        </w:tc>
      </w:tr>
      <w:tr>
        <w:tblPrEx>
          <w:tblW w:w="5000" w:type="pct"/>
          <w:tblInd w:w="455" w:type="dxa"/>
          <w:tblCellMar>
            <w:top w:w="0" w:type="dxa"/>
            <w:left w:w="0" w:type="dxa"/>
            <w:bottom w:w="0" w:type="dxa"/>
            <w:right w:w="0" w:type="dxa"/>
          </w:tblCellMar>
          <w:tblLook w:val="05E0"/>
        </w:tblPrEx>
        <w:trPr>
          <w:trHeight w:val="638"/>
        </w:trPr>
        <w:tc>
          <w:tcPr>
            <w:tcW w:w="8820" w:type="dxa"/>
            <w:gridSpan w:val="2"/>
            <w:tcBorders>
              <w:top w:val="single" w:sz="8" w:space="0" w:color="DDDDDD"/>
              <w:bottom w:val="single" w:sz="8" w:space="0" w:color="DDDDDD"/>
            </w:tcBorders>
            <w:noWrap w:val="0"/>
            <w:tcMar>
              <w:top w:w="85" w:type="dxa"/>
              <w:left w:w="155" w:type="dxa"/>
              <w:bottom w:w="85" w:type="dxa"/>
              <w:right w:w="155"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center"/>
              <w:rPr>
                <w:rStyle w:val="any"/>
                <w:rFonts w:ascii="Calibri" w:eastAsia="Calibri" w:hAnsi="Calibri" w:cs="Calibri"/>
                <w:b w:val="0"/>
                <w:bCs w:val="0"/>
                <w:i w:val="0"/>
                <w:iCs w:val="0"/>
                <w:smallCaps w:val="0"/>
                <w:color w:val="000000"/>
                <w:spacing w:val="8"/>
              </w:rPr>
            </w:pPr>
            <w:r>
              <w:rPr>
                <w:rStyle w:val="any"/>
                <w:rFonts w:ascii="黑体" w:eastAsia="黑体" w:hAnsi="黑体" w:cs="黑体"/>
                <w:b/>
                <w:bCs/>
                <w:i w:val="0"/>
                <w:iCs w:val="0"/>
                <w:caps w:val="0"/>
                <w:smallCaps w:val="0"/>
                <w:color w:val="11428A"/>
                <w:spacing w:val="8"/>
                <w:sz w:val="30"/>
                <w:szCs w:val="30"/>
                <w:vertAlign w:val="baseline"/>
              </w:rPr>
              <w:t>具 体 撤 稿 情 况</w:t>
            </w:r>
          </w:p>
        </w:tc>
      </w:tr>
      <w:tr>
        <w:tblPrEx>
          <w:tblW w:w="5000" w:type="pct"/>
          <w:tblInd w:w="455" w:type="dxa"/>
          <w:tblCellMar>
            <w:top w:w="0" w:type="dxa"/>
            <w:left w:w="0" w:type="dxa"/>
            <w:bottom w:w="0" w:type="dxa"/>
            <w:right w:w="0" w:type="dxa"/>
          </w:tblCellMar>
          <w:tblLook w:val="05E0"/>
        </w:tblPrEx>
        <w:trPr>
          <w:trHeight w:val="638"/>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撤稿杂志</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Heading1"/>
              <w:keepNext w:val="0"/>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Times New Roman" w:hAnsi="Times New Roman" w:cs="Times New Roman"/>
                <w:b w:val="0"/>
                <w:bCs w:val="0"/>
                <w:i w:val="0"/>
                <w:iCs w:val="0"/>
                <w:caps w:val="0"/>
                <w:smallCaps w:val="0"/>
                <w:color w:val="000000"/>
                <w:spacing w:val="8"/>
                <w:kern w:val="36"/>
                <w:sz w:val="21"/>
                <w:szCs w:val="21"/>
              </w:rPr>
              <w:t>Mol Oncol</w:t>
            </w:r>
          </w:p>
        </w:tc>
      </w:tr>
      <w:tr>
        <w:tblPrEx>
          <w:tblW w:w="5000" w:type="pct"/>
          <w:tblInd w:w="455" w:type="dxa"/>
          <w:tblCellMar>
            <w:top w:w="0" w:type="dxa"/>
            <w:left w:w="0" w:type="dxa"/>
            <w:bottom w:w="0" w:type="dxa"/>
            <w:right w:w="0" w:type="dxa"/>
          </w:tblCellMar>
          <w:tblLook w:val="05E0"/>
        </w:tblPrEx>
        <w:trPr>
          <w:trHeight w:val="661"/>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line="360" w:lineRule="auto"/>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撤稿原因</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Heading1"/>
              <w:keepNext w:val="0"/>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宋体" w:eastAsia="宋体" w:hAnsi="宋体" w:cs="宋体"/>
                <w:b w:val="0"/>
                <w:bCs w:val="0"/>
                <w:i w:val="0"/>
                <w:iCs w:val="0"/>
                <w:caps w:val="0"/>
                <w:smallCaps w:val="0"/>
                <w:color w:val="000000"/>
                <w:spacing w:val="8"/>
                <w:kern w:val="36"/>
                <w:sz w:val="21"/>
                <w:szCs w:val="21"/>
              </w:rPr>
              <w:t>编辑失去信心</w:t>
            </w:r>
          </w:p>
        </w:tc>
      </w:tr>
      <w:tr>
        <w:tblPrEx>
          <w:tblW w:w="5000" w:type="pct"/>
          <w:tblInd w:w="455" w:type="dxa"/>
          <w:tblCellMar>
            <w:top w:w="0" w:type="dxa"/>
            <w:left w:w="0" w:type="dxa"/>
            <w:bottom w:w="0" w:type="dxa"/>
            <w:right w:w="0" w:type="dxa"/>
          </w:tblCellMar>
          <w:tblLook w:val="05E0"/>
        </w:tblPrEx>
        <w:trPr>
          <w:trHeight w:val="6292"/>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撤稿声明</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Heading1"/>
              <w:keepNext w:val="0"/>
              <w:pBdr>
                <w:top w:val="none" w:sz="0" w:space="0" w:color="auto"/>
                <w:left w:val="none" w:sz="0" w:space="0" w:color="auto"/>
                <w:bottom w:val="none" w:sz="0" w:space="0" w:color="auto"/>
                <w:right w:val="none" w:sz="0" w:space="0" w:color="auto"/>
              </w:pBdr>
              <w:spacing w:before="0" w:after="0"/>
              <w:ind w:left="0" w:right="0"/>
              <w:rPr>
                <w:rStyle w:val="any"/>
                <w:rFonts w:ascii="Times New Roman" w:eastAsia="Times New Roman" w:hAnsi="Times New Roman" w:cs="Times New Roman"/>
                <w:b w:val="0"/>
                <w:bCs w:val="0"/>
                <w:i w:val="0"/>
                <w:iCs w:val="0"/>
                <w:smallCaps w:val="0"/>
                <w:color w:val="000000"/>
                <w:spacing w:val="8"/>
              </w:rPr>
            </w:pPr>
            <w:r>
              <w:rPr>
                <w:rStyle w:val="any"/>
                <w:rFonts w:ascii="宋体" w:eastAsia="宋体" w:hAnsi="宋体" w:cs="宋体"/>
                <w:b w:val="0"/>
                <w:bCs w:val="0"/>
                <w:i w:val="0"/>
                <w:iCs w:val="0"/>
                <w:caps w:val="0"/>
                <w:smallCaps w:val="0"/>
                <w:color w:val="000000"/>
                <w:spacing w:val="8"/>
                <w:kern w:val="36"/>
                <w:sz w:val="21"/>
                <w:szCs w:val="21"/>
              </w:rPr>
              <w:t>上述文章于2019年8月1日在Wiley online Library（wileyonlinelibrary.com）在线发表，经期刊主编Kevin Ryan同意，已被撤回；FEBS出版社；和John Wiley&amp;Sons有限公司。第三方向该杂志报告，图2E中的一个P-PDPK2P肿瘤图像的直径似乎超过2厘米，这超过了ARRIVE指南建议的最大尺寸。该杂志和出版商的进一步调查还发现，图2E和2F中的第二只和第三只P-NC小鼠似乎是同一只小鼠，尽管据报道它们都接受了不同的治疗。作者对出版商的询问做出了回应，并提供了原始数据。出版商对这些数据的评估进一步确定，原始数据中显示的内容与已发表文章中报告的内容之间存在一些差异。作者表示，在图2E和2F的图像之间没有重复使用小鼠。作者还证实，图2E中的一幅肿瘤图像超过2厘米，但该研究是在中山大学附属第三医院进行的，符合中国的《实验动物福利与伦理审查指南》（GB/T 35892-2018），该指南没有对裸鼠设定肿瘤直径限制。各方已确定，作者违反了ARRIVE关于肿瘤样本最大尺寸的指导方针，该指南在提交时已被该杂志采纳。双方还确定，有压倒性的证据表明，两名小鼠受试者在图2E和2F中被重复使用，但被描述为接受了不同的治疗。作者提供的原始数据与已发表文章中提供的数据之间还有其他一些差异。撤回已被同意，因为该文章在提交时不符合期刊的伦理准则而且因为有大量证据表明，文章中包含的一些数据是不准确或误报的，这从根本上损害了编辑对所提出结论的信心。作者没有表示同意撤回。</w:t>
            </w:r>
          </w:p>
        </w:tc>
      </w:tr>
      <w:tr>
        <w:tblPrEx>
          <w:tblW w:w="5000" w:type="pct"/>
          <w:tblInd w:w="455" w:type="dxa"/>
          <w:tblCellMar>
            <w:top w:w="0" w:type="dxa"/>
            <w:left w:w="0" w:type="dxa"/>
            <w:bottom w:w="0" w:type="dxa"/>
            <w:right w:w="0" w:type="dxa"/>
          </w:tblCellMar>
          <w:tblLook w:val="05E0"/>
        </w:tblPrEx>
        <w:trPr>
          <w:trHeight w:val="6586"/>
        </w:trPr>
        <w:tc>
          <w:tcPr>
            <w:tcW w:w="2870"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宋体" w:eastAsia="宋体" w:hAnsi="宋体" w:cs="宋体"/>
                <w:b/>
                <w:bCs/>
                <w:i w:val="0"/>
                <w:iCs w:val="0"/>
                <w:caps w:val="0"/>
                <w:smallCaps w:val="0"/>
                <w:color w:val="000000"/>
                <w:spacing w:val="8"/>
                <w:sz w:val="28"/>
                <w:szCs w:val="28"/>
                <w:vertAlign w:val="baseline"/>
              </w:rPr>
              <w:t>撤稿声明图片</w:t>
            </w:r>
          </w:p>
        </w:tc>
        <w:tc>
          <w:tcPr>
            <w:tcW w:w="6305" w:type="dxa"/>
            <w:tcBorders>
              <w:top w:val="single" w:sz="8" w:space="0" w:color="000000"/>
              <w:left w:val="single" w:sz="8" w:space="0" w:color="000000"/>
              <w:bottom w:val="single" w:sz="8" w:space="0" w:color="000000"/>
              <w:right w:val="single" w:sz="8" w:space="0" w:color="000000"/>
            </w:tcBorders>
            <w:noWrap w:val="0"/>
            <w:tcMar>
              <w:top w:w="85" w:type="dxa"/>
              <w:left w:w="160" w:type="dxa"/>
              <w:bottom w:w="85" w:type="dxa"/>
              <w:right w:w="160" w:type="dxa"/>
            </w:tcMar>
            <w:vAlign w:val="top"/>
            <w:hideMark/>
          </w:tcPr>
          <w:p>
            <w:pPr>
              <w:pStyle w:val="p"/>
              <w:pBdr>
                <w:top w:val="none" w:sz="0" w:space="0" w:color="auto"/>
                <w:left w:val="none" w:sz="0" w:space="0" w:color="auto"/>
                <w:bottom w:val="none" w:sz="0" w:space="0" w:color="auto"/>
                <w:right w:val="none" w:sz="0" w:space="0" w:color="auto"/>
              </w:pBdr>
              <w:spacing w:before="0" w:after="0"/>
              <w:ind w:left="0" w:right="0" w:firstLine="0"/>
              <w:jc w:val="left"/>
              <w:rPr>
                <w:rStyle w:val="any"/>
                <w:rFonts w:ascii="Calibri" w:eastAsia="Calibri" w:hAnsi="Calibri" w:cs="Calibri"/>
                <w:b w:val="0"/>
                <w:bCs w:val="0"/>
                <w:i w:val="0"/>
                <w:iCs w:val="0"/>
                <w:smallCaps w:val="0"/>
                <w:color w:val="000000"/>
                <w:spacing w:val="8"/>
              </w:rPr>
            </w:pPr>
            <w:r>
              <w:rPr>
                <w:rStyle w:val="any"/>
                <w:rFonts w:ascii="Calibri" w:eastAsia="Calibri" w:hAnsi="Calibri" w:cs="Calibri"/>
                <w:b w:val="0"/>
                <w:bCs w:val="0"/>
                <w:i w:val="0"/>
                <w:iCs w:val="0"/>
                <w:caps w:val="0"/>
                <w:smallCaps w:val="0"/>
                <w:strike w:val="0"/>
                <w:color w:val="000000"/>
                <w:spacing w:val="8"/>
                <w:u w:val="none"/>
                <w:vertAlign w:val="baseline"/>
              </w:rPr>
              <w:drawing>
                <wp:inline>
                  <wp:extent cx="3657695" cy="314772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082193" name=""/>
                          <pic:cNvPicPr>
                            <a:picLocks noChangeAspect="1"/>
                          </pic:cNvPicPr>
                        </pic:nvPicPr>
                        <pic:blipFill>
                          <a:blip xmlns:r="http://schemas.openxmlformats.org/officeDocument/2006/relationships" r:embed="rId7"/>
                          <a:stretch>
                            <a:fillRect/>
                          </a:stretch>
                        </pic:blipFill>
                        <pic:spPr>
                          <a:xfrm>
                            <a:off x="0" y="0"/>
                            <a:ext cx="3657695" cy="3147726"/>
                          </a:xfrm>
                          <a:prstGeom prst="rect">
                            <a:avLst/>
                          </a:prstGeom>
                        </pic:spPr>
                      </pic:pic>
                    </a:graphicData>
                  </a:graphic>
                </wp:inline>
              </w:drawing>
            </w:r>
          </w:p>
        </w:tc>
      </w:tr>
    </w:tbl>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strike w:val="0"/>
          <w:spacing w:val="8"/>
          <w:u w:val="none"/>
        </w:rPr>
        <w:drawing>
          <wp:inline>
            <wp:extent cx="1920904" cy="952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0377850" name=""/>
                    <pic:cNvPicPr>
                      <a:picLocks noChangeAspect="1"/>
                    </pic:cNvPicPr>
                  </pic:nvPicPr>
                  <pic:blipFill>
                    <a:blip xmlns:r="http://schemas.openxmlformats.org/officeDocument/2006/relationships" r:embed="rId8"/>
                    <a:stretch>
                      <a:fillRect/>
                    </a:stretch>
                  </pic:blipFill>
                  <pic:spPr>
                    <a:xfrm>
                      <a:off x="0" y="0"/>
                      <a:ext cx="1920904" cy="9525"/>
                    </a:xfrm>
                    <a:prstGeom prst="rect">
                      <a:avLst/>
                    </a:prstGeom>
                  </pic:spPr>
                </pic:pic>
              </a:graphicData>
            </a:graphic>
          </wp:inline>
        </w:drawing>
      </w:r>
      <w:r>
        <w:rPr>
          <w:rStyle w:val="any"/>
          <w:rFonts w:ascii="Calibri" w:eastAsia="Calibri" w:hAnsi="Calibri" w:cs="Calibri"/>
          <w:b w:val="0"/>
          <w:bCs w:val="0"/>
          <w:caps w:val="0"/>
          <w:smallCaps w:val="0"/>
          <w:spacing w:val="8"/>
        </w:rPr>
        <w:t>    </w:t>
      </w:r>
      <w:r>
        <w:rPr>
          <w:rStyle w:val="any"/>
          <w:rFonts w:ascii="Calibri" w:eastAsia="Calibri" w:hAnsi="Calibri" w:cs="Calibri"/>
          <w:b w:val="0"/>
          <w:bCs w:val="0"/>
          <w:caps w:val="0"/>
          <w:smallCaps w:val="0"/>
          <w:spacing w:val="8"/>
          <w:lang w:val="en-US" w:eastAsia="en-US"/>
        </w:rPr>
        <w:t>       </w:t>
      </w:r>
      <w:r>
        <w:rPr>
          <w:rStyle w:val="any"/>
          <w:rFonts w:ascii="Calibri" w:eastAsia="Calibri" w:hAnsi="Calibri" w:cs="Calibri"/>
          <w:b w:val="0"/>
          <w:bCs w:val="0"/>
          <w:caps w:val="0"/>
          <w:smallCaps w:val="0"/>
          <w:spacing w:val="8"/>
        </w:rPr>
        <w:t>                    </w:t>
      </w:r>
      <w:r>
        <w:rPr>
          <w:rStyle w:val="any"/>
          <w:b w:val="0"/>
          <w:bCs w:val="0"/>
          <w:caps w:val="0"/>
          <w:smallCaps w:val="0"/>
          <w:spacing w:val="8"/>
        </w:rPr>
        <w:t>END </w:t>
      </w:r>
    </w:p>
    <w:p>
      <w:pPr>
        <w:pStyle w:val="p"/>
        <w:pBdr>
          <w:top w:val="none" w:sz="0" w:space="0" w:color="auto"/>
          <w:left w:val="none" w:sz="0" w:space="0" w:color="auto"/>
          <w:bottom w:val="none" w:sz="0" w:space="0" w:color="auto"/>
          <w:right w:val="none" w:sz="0" w:space="0" w:color="auto"/>
        </w:pBdr>
        <w:spacing w:before="0" w:after="0"/>
        <w:ind w:left="300" w:right="300" w:firstLine="0"/>
        <w:jc w:val="center"/>
        <w:rPr>
          <w:rStyle w:val="any"/>
          <w:rFonts w:ascii="Calibri" w:eastAsia="Calibri" w:hAnsi="Calibri" w:cs="Calibri"/>
          <w:b w:val="0"/>
          <w:bCs w:val="0"/>
          <w:spacing w:val="8"/>
        </w:rPr>
      </w:pPr>
      <w:r>
        <w:rPr>
          <w:rStyle w:val="any"/>
          <w:rFonts w:ascii="Calibri" w:eastAsia="Calibri" w:hAnsi="Calibri" w:cs="Calibri"/>
          <w:b w:val="0"/>
          <w:bCs w:val="0"/>
          <w:caps w:val="0"/>
          <w:smallCaps w:val="0"/>
          <w:strike w:val="0"/>
          <w:spacing w:val="8"/>
          <w:u w:val="none"/>
        </w:rPr>
        <w:drawing>
          <wp:inline>
            <wp:extent cx="4063460" cy="2507646"/>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9163499" name=""/>
                    <pic:cNvPicPr>
                      <a:picLocks noChangeAspect="1"/>
                    </pic:cNvPicPr>
                  </pic:nvPicPr>
                  <pic:blipFill>
                    <a:blip xmlns:r="http://schemas.openxmlformats.org/officeDocument/2006/relationships" r:embed="rId9"/>
                    <a:stretch>
                      <a:fillRect/>
                    </a:stretch>
                  </pic:blipFill>
                  <pic:spPr>
                    <a:xfrm>
                      <a:off x="0" y="0"/>
                      <a:ext cx="4063460" cy="250764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ind w:left="300" w:right="300" w:firstLine="0"/>
        <w:jc w:val="center"/>
        <w:rPr>
          <w:rStyle w:val="any"/>
          <w:rFonts w:ascii="Calibri" w:eastAsia="Calibri" w:hAnsi="Calibri" w:cs="Calibri"/>
          <w:b w:val="0"/>
          <w:bCs w:val="0"/>
          <w:spacing w:val="8"/>
        </w:rPr>
      </w:pPr>
      <w:r>
        <w:rPr>
          <w:rStyle w:val="any"/>
          <w:rFonts w:ascii="宋体" w:eastAsia="宋体" w:hAnsi="宋体" w:cs="宋体"/>
          <w:b w:val="0"/>
          <w:bCs w:val="0"/>
          <w:caps w:val="0"/>
          <w:smallCaps w:val="0"/>
          <w:color w:val="FF0000"/>
          <w:spacing w:val="8"/>
        </w:rPr>
        <w:t>碰到撤稿不用慌，专注于提供论文撤稿危机公关服务</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ind w:left="300" w:right="300" w:firstLine="5940"/>
        <w:jc w:val="left"/>
        <w:rPr>
          <w:rStyle w:val="any"/>
          <w:rFonts w:ascii="Calibri" w:eastAsia="Calibri" w:hAnsi="Calibri" w:cs="Calibri"/>
          <w:b w:val="0"/>
          <w:bCs w:val="0"/>
          <w:spacing w:val="8"/>
        </w:rPr>
      </w:pPr>
      <w:r>
        <w:rPr>
          <w:rStyle w:val="any"/>
          <w:rFonts w:ascii="Calibri" w:eastAsia="Calibri" w:hAnsi="Calibri" w:cs="Calibri"/>
          <w:b w:val="0"/>
          <w:bCs w:val="0"/>
          <w:strike w:val="0"/>
          <w:spacing w:val="8"/>
          <w:u w:val="none"/>
        </w:rPr>
        <w:drawing>
          <wp:inline>
            <wp:extent cx="58489" cy="135118"/>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9363935" name=""/>
                    <pic:cNvPicPr>
                      <a:picLocks noChangeAspect="1"/>
                    </pic:cNvPicPr>
                  </pic:nvPicPr>
                  <pic:blipFill>
                    <a:blip xmlns:r="http://schemas.openxmlformats.org/officeDocument/2006/relationships" r:embed="rId10"/>
                    <a:stretch>
                      <a:fillRect/>
                    </a:stretch>
                  </pic:blipFill>
                  <pic:spPr>
                    <a:xfrm>
                      <a:off x="0" y="0"/>
                      <a:ext cx="58489" cy="135118"/>
                    </a:xfrm>
                    <a:prstGeom prst="rect">
                      <a:avLst/>
                    </a:prstGeom>
                  </pic:spPr>
                </pic:pic>
              </a:graphicData>
            </a:graphic>
          </wp:inline>
        </w:drawing>
      </w:r>
      <w:r>
        <w:rPr>
          <w:rStyle w:val="any"/>
          <w:rFonts w:ascii="宋体" w:eastAsia="宋体" w:hAnsi="宋体" w:cs="宋体"/>
          <w:b w:val="0"/>
          <w:bCs w:val="0"/>
          <w:caps w:val="0"/>
          <w:smallCaps w:val="0"/>
          <w:color w:val="FF0000"/>
          <w:spacing w:val="8"/>
          <w:sz w:val="18"/>
          <w:szCs w:val="18"/>
        </w:rPr>
        <w:t>觉得本文好看，请点击这里</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table" w:customStyle="1" w:styleId="table">
    <w:name w:val="table"/>
    <w:basedOn w:val="TableNormal"/>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MjY5MDc0MQ==&amp;mid=2247495018&amp;idx=1&amp;sn=a2c8026c209d0d3986d8cd3ac06a3646"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