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哈尔滨医科大学第四临床医院妇产科</w:t>
        </w:r>
        <w:r>
          <w:rPr>
            <w:rStyle w:val="a"/>
            <w:rFonts w:ascii="Times New Roman" w:eastAsia="Times New Roman" w:hAnsi="Times New Roman" w:cs="Times New Roman"/>
            <w:b w:val="0"/>
            <w:bCs w:val="0"/>
            <w:spacing w:val="8"/>
          </w:rPr>
          <w:t>Cancer Sci</w:t>
        </w:r>
        <w:r>
          <w:rPr>
            <w:rStyle w:val="a"/>
            <w:rFonts w:ascii="PMingLiU" w:eastAsia="PMingLiU" w:hAnsi="PMingLiU" w:cs="PMingLiU"/>
            <w:b w:val="0"/>
            <w:bCs w:val="0"/>
            <w:spacing w:val="8"/>
          </w:rPr>
          <w:t>论文多图雷同撤回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2025-05-02 09:44:10</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800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86931"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哈尔滨医科大学第四临床医院妇产科</w:t>
            </w:r>
            <w:r>
              <w:rPr>
                <w:rStyle w:val="any"/>
                <w:b/>
                <w:bCs/>
                <w:i w:val="0"/>
                <w:iCs w:val="0"/>
                <w:caps w:val="0"/>
                <w:smallCaps w:val="0"/>
                <w:color w:val="000000"/>
                <w:spacing w:val="8"/>
                <w:sz w:val="28"/>
                <w:szCs w:val="28"/>
              </w:rPr>
              <w:t>Cancer Sci</w:t>
            </w:r>
            <w:r>
              <w:rPr>
                <w:rStyle w:val="any"/>
                <w:rFonts w:ascii="宋体" w:eastAsia="宋体" w:hAnsi="宋体" w:cs="宋体"/>
                <w:b/>
                <w:bCs/>
                <w:i w:val="0"/>
                <w:iCs w:val="0"/>
                <w:caps w:val="0"/>
                <w:smallCaps w:val="0"/>
                <w:color w:val="000000"/>
                <w:spacing w:val="8"/>
                <w:sz w:val="28"/>
                <w:szCs w:val="28"/>
              </w:rPr>
              <w:t>论文多图雷同撤回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miR-25-3p Reverses Epithelial-Mesenchymal Transition via Targeting Sema4C in Cisplatin-Resistance Cervical Cancer Cells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miR-25-3p</w:t>
            </w:r>
            <w:r>
              <w:rPr>
                <w:rStyle w:val="any"/>
                <w:rFonts w:ascii="PMingLiU" w:eastAsia="PMingLiU" w:hAnsi="PMingLiU" w:cs="PMingLiU"/>
                <w:b w:val="0"/>
                <w:bCs w:val="0"/>
                <w:i w:val="0"/>
                <w:iCs w:val="0"/>
                <w:caps w:val="0"/>
                <w:smallCaps w:val="0"/>
                <w:color w:val="000000"/>
                <w:spacing w:val="8"/>
                <w:sz w:val="21"/>
                <w:szCs w:val="21"/>
              </w:rPr>
              <w:t>通过靶向</w:t>
            </w:r>
            <w:r>
              <w:rPr>
                <w:rStyle w:val="any"/>
                <w:b w:val="0"/>
                <w:bCs w:val="0"/>
                <w:i w:val="0"/>
                <w:iCs w:val="0"/>
                <w:caps w:val="0"/>
                <w:smallCaps w:val="0"/>
                <w:color w:val="000000"/>
                <w:spacing w:val="8"/>
                <w:sz w:val="21"/>
                <w:szCs w:val="21"/>
              </w:rPr>
              <w:t>Sema4C</w:t>
            </w:r>
            <w:r>
              <w:rPr>
                <w:rStyle w:val="any"/>
                <w:rFonts w:ascii="PMingLiU" w:eastAsia="PMingLiU" w:hAnsi="PMingLiU" w:cs="PMingLiU"/>
                <w:b w:val="0"/>
                <w:bCs w:val="0"/>
                <w:i w:val="0"/>
                <w:iCs w:val="0"/>
                <w:caps w:val="0"/>
                <w:smallCaps w:val="0"/>
                <w:color w:val="000000"/>
                <w:spacing w:val="8"/>
                <w:sz w:val="21"/>
                <w:szCs w:val="21"/>
              </w:rPr>
              <w:t>逆转抗顺铂宫颈癌症细胞的上皮</w:t>
            </w:r>
            <w:r>
              <w:rPr>
                <w:rStyle w:val="any"/>
                <w:b w:val="0"/>
                <w:bCs w:val="0"/>
                <w:i w:val="0"/>
                <w:iCs w:val="0"/>
                <w:caps w:val="0"/>
                <w:smallCaps w:val="0"/>
                <w:color w:val="000000"/>
                <w:spacing w:val="8"/>
                <w:sz w:val="21"/>
                <w:szCs w:val="21"/>
              </w:rPr>
              <w:t>-</w:t>
            </w:r>
            <w:r>
              <w:rPr>
                <w:rStyle w:val="any"/>
                <w:rFonts w:ascii="PMingLiU" w:eastAsia="PMingLiU" w:hAnsi="PMingLiU" w:cs="PMingLiU"/>
                <w:b w:val="0"/>
                <w:bCs w:val="0"/>
                <w:i w:val="0"/>
                <w:iCs w:val="0"/>
                <w:caps w:val="0"/>
                <w:smallCaps w:val="0"/>
                <w:color w:val="000000"/>
                <w:spacing w:val="8"/>
                <w:sz w:val="21"/>
                <w:szCs w:val="21"/>
              </w:rPr>
              <w:t>间充质转移</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上皮间充质转移（EMT）的获得最近被认为是宫颈癌症细胞耐药的重要因素。然而，其潜在机制尚不清楚。微小RNA在调节EMT中起着至关重要的作用。本研究的目的是探讨miR-25-3p在顺铂耐药（CR）宫颈癌症细胞EMT调节中的潜在作用。为此，我们建立了稳定的CR宫颈癌症细胞HeLa-CR和CaSki-CR，并研究了miR-25-3p在调节EMT中的功能。发现CR宫颈癌症细胞具有更多的EMT特征，并表现出更高的迁移能力和侵袭性。在HeLa CR和CaSki CR细胞中也观察到miR-25-3p下调。值得注意的是，miR-25-3p的异位表达逆转了EMT表型，并通过靶向Sema4C使CR细胞对顺铂敏感。此外，与对照组相比，HeLa CR细胞中miR-25-3p的稳定过表达抑制了小鼠的肿瘤生长，下调了Sema4C和Snail，上调了E-cadherin。这些结果表明，miR-25-3p是癌症EMT和化疗耐药性的重要调节因子。因此，上调miR-25-3p可能是治疗对化疗耐药的宫颈癌的新方法。</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宋体" w:eastAsia="宋体" w:hAnsi="宋体" w:cs="宋体"/>
                <w:b w:val="0"/>
                <w:bCs w:val="0"/>
                <w:i w:val="0"/>
                <w:iCs w:val="0"/>
                <w:caps w:val="0"/>
                <w:smallCaps w:val="0"/>
                <w:color w:val="000000"/>
                <w:spacing w:val="8"/>
                <w:sz w:val="21"/>
                <w:szCs w:val="21"/>
              </w:rPr>
              <w:t>哈尔滨医科大学第四临床医院妇产科，黑龙江省哈尔滨市。2黑龙江省医院南岗分院妇科，哈尔滨，黑龙江，</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Cancer Sci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多图雷同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2016</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12</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日在威利在线图书馆（</w:t>
            </w:r>
            <w:r>
              <w:rPr>
                <w:rStyle w:val="any"/>
                <w:rFonts w:ascii="Tahoma" w:eastAsia="Tahoma" w:hAnsi="Tahoma" w:cs="Tahoma"/>
                <w:b w:val="0"/>
                <w:bCs w:val="0"/>
                <w:i w:val="0"/>
                <w:iCs w:val="0"/>
                <w:caps w:val="0"/>
                <w:smallCaps w:val="0"/>
                <w:color w:val="111111"/>
                <w:spacing w:val="8"/>
                <w:sz w:val="21"/>
                <w:szCs w:val="21"/>
              </w:rPr>
              <w:t>wileyonlinelibrary.com</w:t>
            </w:r>
            <w:r>
              <w:rPr>
                <w:rStyle w:val="any"/>
                <w:rFonts w:ascii="PMingLiU" w:eastAsia="PMingLiU" w:hAnsi="PMingLiU" w:cs="PMingLiU"/>
                <w:b w:val="0"/>
                <w:bCs w:val="0"/>
                <w:i w:val="0"/>
                <w:iCs w:val="0"/>
                <w:caps w:val="0"/>
                <w:smallCaps w:val="0"/>
                <w:color w:val="111111"/>
                <w:spacing w:val="8"/>
                <w:sz w:val="21"/>
                <w:szCs w:val="21"/>
              </w:rPr>
              <w:t>）在线发表，经期刊主编</w:t>
            </w:r>
            <w:r>
              <w:rPr>
                <w:rStyle w:val="any"/>
                <w:rFonts w:ascii="Tahoma" w:eastAsia="Tahoma" w:hAnsi="Tahoma" w:cs="Tahoma"/>
                <w:b w:val="0"/>
                <w:bCs w:val="0"/>
                <w:i w:val="0"/>
                <w:iCs w:val="0"/>
                <w:caps w:val="0"/>
                <w:smallCaps w:val="0"/>
                <w:color w:val="111111"/>
                <w:spacing w:val="8"/>
                <w:sz w:val="21"/>
                <w:szCs w:val="21"/>
              </w:rPr>
              <w:t>Masanori Hatakeyama</w:t>
            </w:r>
            <w:r>
              <w:rPr>
                <w:rStyle w:val="any"/>
                <w:rFonts w:ascii="PMingLiU" w:eastAsia="PMingLiU" w:hAnsi="PMingLiU" w:cs="PMingLiU"/>
                <w:b w:val="0"/>
                <w:bCs w:val="0"/>
                <w:i w:val="0"/>
                <w:iCs w:val="0"/>
                <w:caps w:val="0"/>
                <w:smallCaps w:val="0"/>
                <w:color w:val="111111"/>
                <w:spacing w:val="8"/>
                <w:sz w:val="21"/>
                <w:szCs w:val="21"/>
              </w:rPr>
              <w:t>同意，已被撤回；日本癌症协会；和</w:t>
            </w:r>
            <w:r>
              <w:rPr>
                <w:rStyle w:val="any"/>
                <w:rFonts w:ascii="Tahoma" w:eastAsia="Tahoma" w:hAnsi="Tahoma" w:cs="Tahoma"/>
                <w:b w:val="0"/>
                <w:bCs w:val="0"/>
                <w:i w:val="0"/>
                <w:iCs w:val="0"/>
                <w:caps w:val="0"/>
                <w:smallCaps w:val="0"/>
                <w:color w:val="111111"/>
                <w:spacing w:val="8"/>
                <w:sz w:val="21"/>
                <w:szCs w:val="21"/>
              </w:rPr>
              <w:t>John Wiley&amp;Sons Australia</w:t>
            </w:r>
            <w:r>
              <w:rPr>
                <w:rStyle w:val="any"/>
                <w:rFonts w:ascii="PMingLiU" w:eastAsia="PMingLiU" w:hAnsi="PMingLiU" w:cs="PMingLiU"/>
                <w:b w:val="0"/>
                <w:bCs w:val="0"/>
                <w:i w:val="0"/>
                <w:iCs w:val="0"/>
                <w:caps w:val="0"/>
                <w:smallCaps w:val="0"/>
                <w:color w:val="111111"/>
                <w:spacing w:val="8"/>
                <w:sz w:val="21"/>
                <w:szCs w:val="21"/>
              </w:rPr>
              <w:t>有限公司。在对第三方提出的担忧进行调查后，双方同意撤回声明，该调查显示，这篇文章与不同作者群体此前或同年在不同科学背景下发表的其他几篇文章之间的图像面板（图</w:t>
            </w:r>
            <w:r>
              <w:rPr>
                <w:rStyle w:val="any"/>
                <w:rFonts w:ascii="Tahoma" w:eastAsia="Tahoma" w:hAnsi="Tahoma" w:cs="Tahoma"/>
                <w:b w:val="0"/>
                <w:bCs w:val="0"/>
                <w:i w:val="0"/>
                <w:iCs w:val="0"/>
                <w:caps w:val="0"/>
                <w:smallCaps w:val="0"/>
                <w:color w:val="111111"/>
                <w:spacing w:val="8"/>
                <w:sz w:val="21"/>
                <w:szCs w:val="21"/>
              </w:rPr>
              <w:t>1b</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3c</w:t>
            </w:r>
            <w:r>
              <w:rPr>
                <w:rStyle w:val="any"/>
                <w:rFonts w:ascii="PMingLiU" w:eastAsia="PMingLiU" w:hAnsi="PMingLiU" w:cs="PMingLiU"/>
                <w:b w:val="0"/>
                <w:bCs w:val="0"/>
                <w:i w:val="0"/>
                <w:iCs w:val="0"/>
                <w:caps w:val="0"/>
                <w:smallCaps w:val="0"/>
                <w:color w:val="111111"/>
                <w:spacing w:val="8"/>
                <w:sz w:val="21"/>
                <w:szCs w:val="21"/>
              </w:rPr>
              <w:t>）存在不适当的重复。鉴于所发现问题的严重性，编辑们对所提供的数据失去了信心，文章的结论不再被认为是可靠的。提交人及其研究所已获悉这些关切和撤回决定，但他们仍未作出回应。</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313" cy="18802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62152" name=""/>
                          <pic:cNvPicPr>
                            <a:picLocks noChangeAspect="1"/>
                          </pic:cNvPicPr>
                        </pic:nvPicPr>
                        <pic:blipFill>
                          <a:blip xmlns:r="http://schemas.openxmlformats.org/officeDocument/2006/relationships" r:embed="rId7"/>
                          <a:stretch>
                            <a:fillRect/>
                          </a:stretch>
                        </pic:blipFill>
                        <pic:spPr>
                          <a:xfrm>
                            <a:off x="0" y="0"/>
                            <a:ext cx="3651313" cy="18802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49161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48656" name=""/>
                          <pic:cNvPicPr>
                            <a:picLocks noChangeAspect="1"/>
                          </pic:cNvPicPr>
                        </pic:nvPicPr>
                        <pic:blipFill>
                          <a:blip xmlns:r="http://schemas.openxmlformats.org/officeDocument/2006/relationships" r:embed="rId8"/>
                          <a:stretch>
                            <a:fillRect/>
                          </a:stretch>
                        </pic:blipFill>
                        <pic:spPr>
                          <a:xfrm>
                            <a:off x="0" y="0"/>
                            <a:ext cx="3651980" cy="1491615"/>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75685"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97167"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24150"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979&amp;idx=1&amp;sn=ec9fac4c0da98356fb081435012536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