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湖北医药学院原党委书记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TuHanJun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团队论文重复图像被关注，背后有多项基金支持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08:00:38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061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39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application of mRNA-based gene transfer in mesenchymal stem cell-mediated cytotoxicity of glioma cells</w:t>
      </w:r>
      <w:r>
        <w:rPr>
          <w:rStyle w:val="any"/>
          <w:rFonts w:ascii="PMingLiU" w:eastAsia="PMingLiU" w:hAnsi="PMingLiU" w:cs="PMingLiU"/>
          <w:spacing w:val="8"/>
        </w:rPr>
        <w:t>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10.18632/oncotarget.10835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283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67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本研究获得以下基金支持：湖北省科学技术发展基金会</w:t>
      </w:r>
      <w:r>
        <w:rPr>
          <w:rStyle w:val="any"/>
          <w:rFonts w:ascii="Times New Roman" w:eastAsia="Times New Roman" w:hAnsi="Times New Roman" w:cs="Times New Roman"/>
          <w:spacing w:val="8"/>
        </w:rPr>
        <w:t>[2014CFA068]</w:t>
      </w:r>
      <w:r>
        <w:rPr>
          <w:rStyle w:val="any"/>
          <w:rFonts w:ascii="PMingLiU" w:eastAsia="PMingLiU" w:hAnsi="PMingLiU" w:cs="PMingLiU"/>
          <w:spacing w:val="8"/>
        </w:rPr>
        <w:t>；太和医院基金会；广西科学技术发展基金会</w:t>
      </w:r>
      <w:r>
        <w:rPr>
          <w:rStyle w:val="any"/>
          <w:rFonts w:ascii="Times New Roman" w:eastAsia="Times New Roman" w:hAnsi="Times New Roman" w:cs="Times New Roman"/>
          <w:spacing w:val="8"/>
        </w:rPr>
        <w:t>[0719006-2-7]</w:t>
      </w:r>
      <w:r>
        <w:rPr>
          <w:rStyle w:val="any"/>
          <w:rFonts w:ascii="PMingLiU" w:eastAsia="PMingLiU" w:hAnsi="PMingLiU" w:cs="PMingLiU"/>
          <w:spacing w:val="8"/>
        </w:rPr>
        <w:t>；湖北省教育厅中青年人才项目</w:t>
      </w:r>
      <w:r>
        <w:rPr>
          <w:rStyle w:val="any"/>
          <w:rFonts w:ascii="Times New Roman" w:eastAsia="Times New Roman" w:hAnsi="Times New Roman" w:cs="Times New Roman"/>
          <w:spacing w:val="8"/>
        </w:rPr>
        <w:t>[Q20162104]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Eueremaeus chiatous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501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279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2611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5836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2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平台上，作者目前无任何回应。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https://pubpeer.com/publications/6294D46EB86039B6AADD157E976E05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https://www.oncotarget.com/article/10835/text/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54&amp;idx=2&amp;sn=6c08001568b483348c78f6515eb6aa0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