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19:38:13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476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3&amp;idx=1&amp;sn=32737db2098b622d8a5cae62612e0d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