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9266"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44489"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09248"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86795"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