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Carbohydrate Polymers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一只鱼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严肃科研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2025-05-05 17:41:15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900" w:right="900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888888"/>
          <w:spacing w:val="8"/>
          <w:sz w:val="30"/>
          <w:szCs w:val="30"/>
        </w:rPr>
        <w:t>“</w:t>
      </w:r>
      <w:r>
        <w:rPr>
          <w:rStyle w:val="any"/>
          <w:rFonts w:ascii="PMingLiU" w:eastAsia="PMingLiU" w:hAnsi="PMingLiU" w:cs="PMingLiU"/>
          <w:color w:val="888888"/>
          <w:spacing w:val="8"/>
        </w:rPr>
        <w:t>秉持严谨、深入、持续、开放与创新的态度，尊重他人成果，携手交流共进，推动科研发展。</w:t>
      </w:r>
      <w:r>
        <w:rPr>
          <w:rStyle w:val="any"/>
          <w:rFonts w:ascii="Times New Roman" w:eastAsia="Times New Roman" w:hAnsi="Times New Roman" w:cs="Times New Roman"/>
          <w:b/>
          <w:bCs/>
          <w:color w:val="888888"/>
          <w:spacing w:val="8"/>
          <w:sz w:val="30"/>
          <w:szCs w:val="30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F8F7FF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9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F8F7FF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452724"/>
          <w:spacing w:val="9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8"/>
          <w:sz w:val="36"/>
          <w:szCs w:val="36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0"/>
          <w:sz w:val="30"/>
          <w:szCs w:val="30"/>
        </w:rPr>
        <w:t>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2577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6762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25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Chitosan/hyaluronan nanogels co-delivering methotrexate and 5-aminolevulinic acid: A combined chemo-photodynamic therapy for psoriasis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期刊：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Carbohydrate Polymers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中山大学药学院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发表时间：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2022年2月1日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DOI: 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 10.1016/j.carbpol.2021.118819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研究摘要：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Psoriasis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does not respond adequately to the monotherapy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, tailoring combined strategies for synergistical treatment remains challenging. We fabricated chitosan/hyaluronan nanogels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to co-load methotrexate (MTX) and 5-aminoleavulinic acid (ALA), i.e., MTX-ALA NGs, for a combined chemo-photodynamic therapy for psoriasis. Compared with MTX-ALA suspension, the NGs enhanced the penetration and retention of MTX and ALA through and into the skin in vitro and in vivo (</w:t>
      </w:r>
      <w:r>
        <w:rPr>
          <w:rStyle w:val="any"/>
          <w:rFonts w:ascii="Georgia" w:eastAsia="Georgia" w:hAnsi="Georgia" w:cs="Georgia"/>
          <w:b w:val="0"/>
          <w:bCs w:val="0"/>
          <w:i/>
          <w:iCs/>
          <w:caps w:val="0"/>
          <w:color w:val="1F1F1F"/>
          <w:spacing w:val="0"/>
          <w:sz w:val="21"/>
          <w:szCs w:val="21"/>
        </w:rPr>
        <w:t>p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&lt; 0.001). NGs enhanced the cellular uptake (</w:t>
      </w:r>
      <w:r>
        <w:rPr>
          <w:rStyle w:val="any"/>
          <w:rFonts w:ascii="Georgia" w:eastAsia="Georgia" w:hAnsi="Georgia" w:cs="Georgia"/>
          <w:b w:val="0"/>
          <w:bCs w:val="0"/>
          <w:i/>
          <w:iCs/>
          <w:caps w:val="0"/>
          <w:color w:val="1F1F1F"/>
          <w:spacing w:val="0"/>
          <w:sz w:val="21"/>
          <w:szCs w:val="21"/>
        </w:rPr>
        <w:t>p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&lt; 0.001), protoporphyrin IX conversion (</w:t>
      </w:r>
      <w:r>
        <w:rPr>
          <w:rStyle w:val="any"/>
          <w:rFonts w:ascii="Georgia" w:eastAsia="Georgia" w:hAnsi="Georgia" w:cs="Georgia"/>
          <w:b w:val="0"/>
          <w:bCs w:val="0"/>
          <w:i/>
          <w:iCs/>
          <w:caps w:val="0"/>
          <w:color w:val="1F1F1F"/>
          <w:spacing w:val="0"/>
          <w:sz w:val="21"/>
          <w:szCs w:val="21"/>
        </w:rPr>
        <w:t>p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&lt; 0.001), and reactive oxygen species generation (3.93-fold), subsequently exerted the synergistical anti-proliferation and apoptosis on lipopolysaccharide-irritated HaCaT cells with the apoptosis rate of 78.6%. MTX-ALA NGs efficiently ameliorated the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skin manifestations and down-regulated the proinflammatory cytokines of TNF-α and IL-17A in imiquimod-induced psoriatic mice (</w:t>
      </w:r>
      <w:r>
        <w:rPr>
          <w:rStyle w:val="any"/>
          <w:rFonts w:ascii="Georgia" w:eastAsia="Georgia" w:hAnsi="Georgia" w:cs="Georgia"/>
          <w:b w:val="0"/>
          <w:bCs w:val="0"/>
          <w:i/>
          <w:iCs/>
          <w:caps w:val="0"/>
          <w:color w:val="1F1F1F"/>
          <w:spacing w:val="0"/>
          <w:sz w:val="21"/>
          <w:szCs w:val="21"/>
        </w:rPr>
        <w:t>p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&lt; 0.001). Importantly, MTX-ALA NGs reduced the toxicities of oral MTX to the liver and kidney. The results support that MTX-ALA NG is a convenient, effective, and safe combined chemo-photodynamic strategy for psoriasis treatment.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银屑病对单药治疗反应不足，制定联合治疗策略具有挑战性。我们制备了壳聚糖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透明质酸纳米凝胶，共载甲氨蝶呤（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MTX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）和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5-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氨基卟啉酸（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ALA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），即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MTX-ALA NGs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，用于银屑病的联合化疗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光动力治疗。与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MTX-ALA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悬浮液相比，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NGs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在体外和体内增强了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MTX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ALA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通过和进入皮肤的渗透和滞留（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p &lt; 0.001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）。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NGs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增强了细胞摄取（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p &lt; 0.001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）、原卟啉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IX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转化（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p &lt; 0.001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）和活性氧生成（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3.93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倍），随后对脂多糖刺激的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HaCaT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细胞产生了协同抗增殖和凋亡作用，凋亡率为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78.6%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。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MTX-ALA NGs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有效改善了皮肤表现，并下调了咪喹莫特诱导的银屑病小鼠的促炎细胞因子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TNF-α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IL-17A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（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p &lt; 0.001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）。重要的是，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MTX-ALA NGs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降低了口服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MTX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对肝脏和肾脏的毒性。结果表明，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MTX-ALA NG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是一种方便、有效且安全的银屑病治疗联合化疗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光动力策略。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750" w:right="7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9"/>
          <w:sz w:val="36"/>
          <w:szCs w:val="36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750" w:right="7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0"/>
          <w:sz w:val="30"/>
          <w:szCs w:val="30"/>
        </w:rPr>
        <w:t>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shd w:val="clear" w:color="auto" w:fill="FFFFFF"/>
        <w:spacing w:before="0" w:after="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5486400" cy="695501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6155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955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1"/>
          <w:szCs w:val="21"/>
        </w:rPr>
        <w:t>参考信息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  <w:t>https://www.sciencedirect.com/science/article/abs/pii/S0144861721012066?via%3Dihub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  <w:t>https://pubpeer.com/publications/A47DEB10AAFD360C5091124E0CFF3C</w:t>
      </w:r>
      <w:r>
        <w:rPr>
          <w:rStyle w:val="a"/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>#0</w:t>
      </w:r>
    </w:p>
    <w:p>
      <w:pPr>
        <w:pStyle w:val="anyParagraph"/>
        <w:numPr>
          <w:ilvl w:val="0"/>
          <w:numId w:val="1"/>
        </w:numPr>
        <w:shd w:val="clear" w:color="auto" w:fill="FFFFFF"/>
        <w:spacing w:before="150" w:after="0" w:line="390" w:lineRule="atLeast"/>
        <w:ind w:left="840" w:right="465" w:hanging="197"/>
        <w:jc w:val="left"/>
        <w:rPr>
          <w:rStyle w:val="any"/>
          <w:rFonts w:ascii="Times New Roman" w:eastAsia="Times New Roman" w:hAnsi="Times New Roman" w:cs="Times New Roman"/>
          <w:color w:val="333333"/>
          <w:spacing w:val="9"/>
          <w:sz w:val="21"/>
          <w:szCs w:val="21"/>
        </w:rPr>
      </w:pPr>
    </w:p>
    <w:p>
      <w:pPr>
        <w:shd w:val="clear" w:color="auto" w:fill="FFFFFF"/>
        <w:spacing w:before="0" w:after="150" w:line="390" w:lineRule="atLeast"/>
        <w:ind w:left="840" w:right="465"/>
        <w:jc w:val="left"/>
        <w:rPr>
          <w:rStyle w:val="any"/>
          <w:rFonts w:ascii="Consolas" w:eastAsia="Consolas" w:hAnsi="Consolas" w:cs="Consolas"/>
          <w:color w:val="333333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本平台对于科研问题的探讨，始终保持严谨、深入、持续、开放和创新的态度。所有推文信源，均来源于</w:t>
      </w:r>
      <w:r>
        <w:rPr>
          <w:rStyle w:val="any"/>
          <w:rFonts w:ascii="Consolas" w:eastAsia="Consolas" w:hAnsi="Consolas" w:cs="Consolas"/>
          <w:color w:val="333333"/>
          <w:spacing w:val="9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、</w:t>
      </w:r>
      <w:r>
        <w:rPr>
          <w:rStyle w:val="any"/>
          <w:rFonts w:ascii="Consolas" w:eastAsia="Consolas" w:hAnsi="Consolas" w:cs="Consolas"/>
          <w:color w:val="333333"/>
          <w:spacing w:val="9"/>
          <w:sz w:val="21"/>
          <w:szCs w:val="21"/>
        </w:rPr>
        <w:t>For Better Science</w:t>
      </w: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等网站公开质疑。我们从来没有、也永远不会主动查重论文并去</w:t>
      </w:r>
      <w:r>
        <w:rPr>
          <w:rStyle w:val="any"/>
          <w:rFonts w:ascii="Consolas" w:eastAsia="Consolas" w:hAnsi="Consolas" w:cs="Consolas"/>
          <w:color w:val="333333"/>
          <w:spacing w:val="9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上质疑。我们尊重他人的研究成果和贡献，通过交流和合作，共同推动科研领域的进步和发展。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xODcwODMzMw==&amp;mid=2247484149&amp;idx=1&amp;sn=f3175d684c4c4e16bf4947ab105702d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