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吉林大学中日联谊医院</w:t>
        </w:r>
        <w:r>
          <w:rPr>
            <w:rStyle w:val="a"/>
            <w:rFonts w:ascii="Times New Roman" w:eastAsia="Times New Roman" w:hAnsi="Times New Roman" w:cs="Times New Roman"/>
            <w:b w:val="0"/>
            <w:bCs w:val="0"/>
            <w:spacing w:val="8"/>
          </w:rPr>
          <w:t>Cell Cycle</w:t>
        </w:r>
        <w:r>
          <w:rPr>
            <w:rStyle w:val="a"/>
            <w:rFonts w:ascii="PMingLiU" w:eastAsia="PMingLiU" w:hAnsi="PMingLiU" w:cs="PMingLiU"/>
            <w:b w:val="0"/>
            <w:bCs w:val="0"/>
            <w:spacing w:val="8"/>
          </w:rPr>
          <w:t>被质疑后撤稿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2025-04-29 21:27:32</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6885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65255" name=""/>
                    <pic:cNvPicPr>
                      <a:picLocks noChangeAspect="1"/>
                    </pic:cNvPicPr>
                  </pic:nvPicPr>
                  <pic:blipFill>
                    <a:blip xmlns:r="http://schemas.openxmlformats.org/officeDocument/2006/relationships" r:embed="rId6"/>
                    <a:stretch>
                      <a:fillRect/>
                    </a:stretch>
                  </pic:blipFill>
                  <pic:spPr>
                    <a:xfrm>
                      <a:off x="0" y="0"/>
                      <a:ext cx="5486400" cy="54688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LncRNA XIST promotes human lung adenocarcinoma cells to cisplatin resistance via let-7i/BAG-1 axis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Cell cycle (Georgetown, Tex.)</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吉林大学中日联谊医院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2017年9月29日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 10.1080/15384101.2017.1361071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color w:val="212121"/>
          <w:spacing w:val="0"/>
          <w:sz w:val="21"/>
          <w:szCs w:val="21"/>
        </w:rPr>
        <w:t>Long noncoding RNAs (lncRNAs) have been identified as oncogenes or tumor suppressors that are involved in tumorigenesis and chemoresistance. LncRNA XIST expression is upregulated in several cancers, however, its biologic role in the development of the chemotherapy of human lung adenocarcinoma (LAD) has not been elucidated. This study aimed to observe the expression of LncRNA XIST in LAD and to evaluate its biologic role and clinical significance in the resistance of LAD cells to cisplatin. LncRNA XIST expression was markedly increased in cisplatin-resistant A549/DDP cells compared with parental A549 cells as shown by qRT-PCR. LncRNA XIST overexpression in A549 cells increased their chemosensitivity to cisplatin both in vitro and in vivo by protecting cells from apoptosis and promoting cell proliferation. By contrast, LncRNA XIST knockdown in A549/DDP cells decreased the chemoresistance. We revealed that XIST functioned as competing endogenous RNA to repress let-7i, which controlled its down-stream target BAG-1. We proposed that XIST was responsible for cisplatin resistance of LAD cells and XIST exerted its function through the let-7i/BAG-1 axis. Our findings suggested that lncRNA XIST may be a new marker of poor response to cisplatin and could be a potential therapeutic target for LAD chemotherapy.</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）已被鉴定为参与肿瘤发生和化疗耐药性的癌基因或肿瘤抑制因子。</w:t>
      </w:r>
      <w:r>
        <w:rPr>
          <w:rStyle w:val="any"/>
          <w:rFonts w:ascii="Segoe UI" w:eastAsia="Segoe UI" w:hAnsi="Segoe UI" w:cs="Segoe UI"/>
          <w:b w:val="0"/>
          <w:bCs w:val="0"/>
          <w:i w:val="0"/>
          <w:iCs w:val="0"/>
          <w:caps w:val="0"/>
          <w:color w:val="212121"/>
          <w:spacing w:val="0"/>
          <w:sz w:val="21"/>
          <w:szCs w:val="21"/>
          <w:lang w:val="zh-CN" w:eastAsia="zh-CN"/>
        </w:rPr>
        <w:t xml:space="preserve">LncRNA XIST </w:t>
      </w:r>
      <w:r>
        <w:rPr>
          <w:rStyle w:val="any"/>
          <w:rFonts w:ascii="PMingLiU" w:eastAsia="PMingLiU" w:hAnsi="PMingLiU" w:cs="PMingLiU"/>
          <w:b w:val="0"/>
          <w:bCs w:val="0"/>
          <w:i w:val="0"/>
          <w:iCs w:val="0"/>
          <w:caps w:val="0"/>
          <w:color w:val="212121"/>
          <w:spacing w:val="0"/>
          <w:sz w:val="21"/>
          <w:szCs w:val="21"/>
          <w:lang w:val="zh-CN" w:eastAsia="zh-CN"/>
        </w:rPr>
        <w:t>的表达在多种癌症中上调，然而，其在人类肺腺癌（</w:t>
      </w:r>
      <w:r>
        <w:rPr>
          <w:rStyle w:val="any"/>
          <w:rFonts w:ascii="Segoe UI" w:eastAsia="Segoe UI" w:hAnsi="Segoe UI" w:cs="Segoe UI"/>
          <w:b w:val="0"/>
          <w:bCs w:val="0"/>
          <w:i w:val="0"/>
          <w:iCs w:val="0"/>
          <w:caps w:val="0"/>
          <w:color w:val="212121"/>
          <w:spacing w:val="0"/>
          <w:sz w:val="21"/>
          <w:szCs w:val="21"/>
          <w:lang w:val="zh-CN" w:eastAsia="zh-CN"/>
        </w:rPr>
        <w:t>LAD</w:t>
      </w:r>
      <w:r>
        <w:rPr>
          <w:rStyle w:val="any"/>
          <w:rFonts w:ascii="PMingLiU" w:eastAsia="PMingLiU" w:hAnsi="PMingLiU" w:cs="PMingLiU"/>
          <w:b w:val="0"/>
          <w:bCs w:val="0"/>
          <w:i w:val="0"/>
          <w:iCs w:val="0"/>
          <w:caps w:val="0"/>
          <w:color w:val="212121"/>
          <w:spacing w:val="0"/>
          <w:sz w:val="21"/>
          <w:szCs w:val="21"/>
          <w:lang w:val="zh-CN" w:eastAsia="zh-CN"/>
        </w:rPr>
        <w:t>）化疗发展中的生物学作用尚未阐明。本研究旨在观察</w:t>
      </w:r>
      <w:r>
        <w:rPr>
          <w:rStyle w:val="any"/>
          <w:rFonts w:ascii="Segoe UI" w:eastAsia="Segoe UI" w:hAnsi="Segoe UI" w:cs="Segoe UI"/>
          <w:b w:val="0"/>
          <w:bCs w:val="0"/>
          <w:i w:val="0"/>
          <w:iCs w:val="0"/>
          <w:caps w:val="0"/>
          <w:color w:val="212121"/>
          <w:spacing w:val="0"/>
          <w:sz w:val="21"/>
          <w:szCs w:val="21"/>
          <w:lang w:val="zh-CN" w:eastAsia="zh-CN"/>
        </w:rPr>
        <w:t xml:space="preserve"> LAD </w:t>
      </w:r>
      <w:r>
        <w:rPr>
          <w:rStyle w:val="any"/>
          <w:rFonts w:ascii="PMingLiU" w:eastAsia="PMingLiU" w:hAnsi="PMingLiU" w:cs="PMingLiU"/>
          <w:b w:val="0"/>
          <w:bCs w:val="0"/>
          <w:i w:val="0"/>
          <w:iCs w:val="0"/>
          <w:caps w:val="0"/>
          <w:color w:val="212121"/>
          <w:spacing w:val="0"/>
          <w:sz w:val="21"/>
          <w:szCs w:val="21"/>
          <w:lang w:val="zh-CN" w:eastAsia="zh-CN"/>
        </w:rPr>
        <w:t>中</w:t>
      </w:r>
      <w:r>
        <w:rPr>
          <w:rStyle w:val="any"/>
          <w:rFonts w:ascii="Segoe UI" w:eastAsia="Segoe UI" w:hAnsi="Segoe UI" w:cs="Segoe UI"/>
          <w:b w:val="0"/>
          <w:bCs w:val="0"/>
          <w:i w:val="0"/>
          <w:iCs w:val="0"/>
          <w:caps w:val="0"/>
          <w:color w:val="212121"/>
          <w:spacing w:val="0"/>
          <w:sz w:val="21"/>
          <w:szCs w:val="21"/>
          <w:lang w:val="zh-CN" w:eastAsia="zh-CN"/>
        </w:rPr>
        <w:t xml:space="preserve"> LncRNA XIST </w:t>
      </w:r>
      <w:r>
        <w:rPr>
          <w:rStyle w:val="any"/>
          <w:rFonts w:ascii="PMingLiU" w:eastAsia="PMingLiU" w:hAnsi="PMingLiU" w:cs="PMingLiU"/>
          <w:b w:val="0"/>
          <w:bCs w:val="0"/>
          <w:i w:val="0"/>
          <w:iCs w:val="0"/>
          <w:caps w:val="0"/>
          <w:color w:val="212121"/>
          <w:spacing w:val="0"/>
          <w:sz w:val="21"/>
          <w:szCs w:val="21"/>
          <w:lang w:val="zh-CN" w:eastAsia="zh-CN"/>
        </w:rPr>
        <w:t>的表达，并评估其在</w:t>
      </w:r>
      <w:r>
        <w:rPr>
          <w:rStyle w:val="any"/>
          <w:rFonts w:ascii="Segoe UI" w:eastAsia="Segoe UI" w:hAnsi="Segoe UI" w:cs="Segoe UI"/>
          <w:b w:val="0"/>
          <w:bCs w:val="0"/>
          <w:i w:val="0"/>
          <w:iCs w:val="0"/>
          <w:caps w:val="0"/>
          <w:color w:val="212121"/>
          <w:spacing w:val="0"/>
          <w:sz w:val="21"/>
          <w:szCs w:val="21"/>
          <w:lang w:val="zh-CN" w:eastAsia="zh-CN"/>
        </w:rPr>
        <w:t xml:space="preserve"> LAD </w:t>
      </w:r>
      <w:r>
        <w:rPr>
          <w:rStyle w:val="any"/>
          <w:rFonts w:ascii="PMingLiU" w:eastAsia="PMingLiU" w:hAnsi="PMingLiU" w:cs="PMingLiU"/>
          <w:b w:val="0"/>
          <w:bCs w:val="0"/>
          <w:i w:val="0"/>
          <w:iCs w:val="0"/>
          <w:caps w:val="0"/>
          <w:color w:val="212121"/>
          <w:spacing w:val="0"/>
          <w:sz w:val="21"/>
          <w:szCs w:val="21"/>
          <w:lang w:val="zh-CN" w:eastAsia="zh-CN"/>
        </w:rPr>
        <w:t>细胞对顺铂耐药性中的生物学作用和临床意义。</w:t>
      </w:r>
      <w:r>
        <w:rPr>
          <w:rStyle w:val="any"/>
          <w:rFonts w:ascii="Segoe UI" w:eastAsia="Segoe UI" w:hAnsi="Segoe UI" w:cs="Segoe UI"/>
          <w:b w:val="0"/>
          <w:bCs w:val="0"/>
          <w:i w:val="0"/>
          <w:iCs w:val="0"/>
          <w:caps w:val="0"/>
          <w:color w:val="212121"/>
          <w:spacing w:val="0"/>
          <w:sz w:val="21"/>
          <w:szCs w:val="21"/>
          <w:lang w:val="zh-CN" w:eastAsia="zh-CN"/>
        </w:rPr>
        <w:t xml:space="preserve">qRT-PCR </w:t>
      </w:r>
      <w:r>
        <w:rPr>
          <w:rStyle w:val="any"/>
          <w:rFonts w:ascii="PMingLiU" w:eastAsia="PMingLiU" w:hAnsi="PMingLiU" w:cs="PMingLiU"/>
          <w:b w:val="0"/>
          <w:bCs w:val="0"/>
          <w:i w:val="0"/>
          <w:iCs w:val="0"/>
          <w:caps w:val="0"/>
          <w:color w:val="212121"/>
          <w:spacing w:val="0"/>
          <w:sz w:val="21"/>
          <w:szCs w:val="21"/>
          <w:lang w:val="zh-CN" w:eastAsia="zh-CN"/>
        </w:rPr>
        <w:t>结果显示，与亲本</w:t>
      </w:r>
      <w:r>
        <w:rPr>
          <w:rStyle w:val="any"/>
          <w:rFonts w:ascii="Segoe UI" w:eastAsia="Segoe UI" w:hAnsi="Segoe UI" w:cs="Segoe UI"/>
          <w:b w:val="0"/>
          <w:bCs w:val="0"/>
          <w:i w:val="0"/>
          <w:iCs w:val="0"/>
          <w:caps w:val="0"/>
          <w:color w:val="212121"/>
          <w:spacing w:val="0"/>
          <w:sz w:val="21"/>
          <w:szCs w:val="21"/>
          <w:lang w:val="zh-CN" w:eastAsia="zh-CN"/>
        </w:rPr>
        <w:t xml:space="preserve"> A549 </w:t>
      </w:r>
      <w:r>
        <w:rPr>
          <w:rStyle w:val="any"/>
          <w:rFonts w:ascii="PMingLiU" w:eastAsia="PMingLiU" w:hAnsi="PMingLiU" w:cs="PMingLiU"/>
          <w:b w:val="0"/>
          <w:bCs w:val="0"/>
          <w:i w:val="0"/>
          <w:iCs w:val="0"/>
          <w:caps w:val="0"/>
          <w:color w:val="212121"/>
          <w:spacing w:val="0"/>
          <w:sz w:val="21"/>
          <w:szCs w:val="21"/>
          <w:lang w:val="zh-CN" w:eastAsia="zh-CN"/>
        </w:rPr>
        <w:t>细胞相比，顺铂耐药性</w:t>
      </w:r>
      <w:r>
        <w:rPr>
          <w:rStyle w:val="any"/>
          <w:rFonts w:ascii="Segoe UI" w:eastAsia="Segoe UI" w:hAnsi="Segoe UI" w:cs="Segoe UI"/>
          <w:b w:val="0"/>
          <w:bCs w:val="0"/>
          <w:i w:val="0"/>
          <w:iCs w:val="0"/>
          <w:caps w:val="0"/>
          <w:color w:val="212121"/>
          <w:spacing w:val="0"/>
          <w:sz w:val="21"/>
          <w:szCs w:val="21"/>
          <w:lang w:val="zh-CN" w:eastAsia="zh-CN"/>
        </w:rPr>
        <w:t xml:space="preserve"> A549/DDP </w:t>
      </w:r>
      <w:r>
        <w:rPr>
          <w:rStyle w:val="any"/>
          <w:rFonts w:ascii="PMingLiU" w:eastAsia="PMingLiU" w:hAnsi="PMingLiU" w:cs="PMingLiU"/>
          <w:b w:val="0"/>
          <w:bCs w:val="0"/>
          <w:i w:val="0"/>
          <w:iCs w:val="0"/>
          <w:caps w:val="0"/>
          <w:color w:val="212121"/>
          <w:spacing w:val="0"/>
          <w:sz w:val="21"/>
          <w:szCs w:val="21"/>
          <w:lang w:val="zh-CN" w:eastAsia="zh-CN"/>
        </w:rPr>
        <w:t>细胞中</w:t>
      </w:r>
      <w:r>
        <w:rPr>
          <w:rStyle w:val="any"/>
          <w:rFonts w:ascii="Segoe UI" w:eastAsia="Segoe UI" w:hAnsi="Segoe UI" w:cs="Segoe UI"/>
          <w:b w:val="0"/>
          <w:bCs w:val="0"/>
          <w:i w:val="0"/>
          <w:iCs w:val="0"/>
          <w:caps w:val="0"/>
          <w:color w:val="212121"/>
          <w:spacing w:val="0"/>
          <w:sz w:val="21"/>
          <w:szCs w:val="21"/>
          <w:lang w:val="zh-CN" w:eastAsia="zh-CN"/>
        </w:rPr>
        <w:t xml:space="preserve"> LncRNA XIST </w:t>
      </w:r>
      <w:r>
        <w:rPr>
          <w:rStyle w:val="any"/>
          <w:rFonts w:ascii="PMingLiU" w:eastAsia="PMingLiU" w:hAnsi="PMingLiU" w:cs="PMingLiU"/>
          <w:b w:val="0"/>
          <w:bCs w:val="0"/>
          <w:i w:val="0"/>
          <w:iCs w:val="0"/>
          <w:caps w:val="0"/>
          <w:color w:val="212121"/>
          <w:spacing w:val="0"/>
          <w:sz w:val="21"/>
          <w:szCs w:val="21"/>
          <w:lang w:val="zh-CN" w:eastAsia="zh-CN"/>
        </w:rPr>
        <w:t>的表达显著增加。在</w:t>
      </w:r>
      <w:r>
        <w:rPr>
          <w:rStyle w:val="any"/>
          <w:rFonts w:ascii="Segoe UI" w:eastAsia="Segoe UI" w:hAnsi="Segoe UI" w:cs="Segoe UI"/>
          <w:b w:val="0"/>
          <w:bCs w:val="0"/>
          <w:i w:val="0"/>
          <w:iCs w:val="0"/>
          <w:caps w:val="0"/>
          <w:color w:val="212121"/>
          <w:spacing w:val="0"/>
          <w:sz w:val="21"/>
          <w:szCs w:val="21"/>
          <w:lang w:val="zh-CN" w:eastAsia="zh-CN"/>
        </w:rPr>
        <w:t xml:space="preserve"> A549 </w:t>
      </w:r>
      <w:r>
        <w:rPr>
          <w:rStyle w:val="any"/>
          <w:rFonts w:ascii="PMingLiU" w:eastAsia="PMingLiU" w:hAnsi="PMingLiU" w:cs="PMingLiU"/>
          <w:b w:val="0"/>
          <w:bCs w:val="0"/>
          <w:i w:val="0"/>
          <w:iCs w:val="0"/>
          <w:caps w:val="0"/>
          <w:color w:val="212121"/>
          <w:spacing w:val="0"/>
          <w:sz w:val="21"/>
          <w:szCs w:val="21"/>
          <w:lang w:val="zh-CN" w:eastAsia="zh-CN"/>
        </w:rPr>
        <w:t>细胞中过表达</w:t>
      </w:r>
      <w:r>
        <w:rPr>
          <w:rStyle w:val="any"/>
          <w:rFonts w:ascii="Segoe UI" w:eastAsia="Segoe UI" w:hAnsi="Segoe UI" w:cs="Segoe UI"/>
          <w:b w:val="0"/>
          <w:bCs w:val="0"/>
          <w:i w:val="0"/>
          <w:iCs w:val="0"/>
          <w:caps w:val="0"/>
          <w:color w:val="212121"/>
          <w:spacing w:val="0"/>
          <w:sz w:val="21"/>
          <w:szCs w:val="21"/>
          <w:lang w:val="zh-CN" w:eastAsia="zh-CN"/>
        </w:rPr>
        <w:t xml:space="preserve"> LncRNA XIST</w:t>
      </w:r>
      <w:r>
        <w:rPr>
          <w:rStyle w:val="any"/>
          <w:rFonts w:ascii="PMingLiU" w:eastAsia="PMingLiU" w:hAnsi="PMingLiU" w:cs="PMingLiU"/>
          <w:b w:val="0"/>
          <w:bCs w:val="0"/>
          <w:i w:val="0"/>
          <w:iCs w:val="0"/>
          <w:caps w:val="0"/>
          <w:color w:val="212121"/>
          <w:spacing w:val="0"/>
          <w:sz w:val="21"/>
          <w:szCs w:val="21"/>
          <w:lang w:val="zh-CN" w:eastAsia="zh-CN"/>
        </w:rPr>
        <w:t>，无论是在体外还是在体内，都能通过保护细胞免受凋亡并促进细胞增殖来增加其对顺铂的化疗敏感性。相反，在</w:t>
      </w:r>
      <w:r>
        <w:rPr>
          <w:rStyle w:val="any"/>
          <w:rFonts w:ascii="Segoe UI" w:eastAsia="Segoe UI" w:hAnsi="Segoe UI" w:cs="Segoe UI"/>
          <w:b w:val="0"/>
          <w:bCs w:val="0"/>
          <w:i w:val="0"/>
          <w:iCs w:val="0"/>
          <w:caps w:val="0"/>
          <w:color w:val="212121"/>
          <w:spacing w:val="0"/>
          <w:sz w:val="21"/>
          <w:szCs w:val="21"/>
          <w:lang w:val="zh-CN" w:eastAsia="zh-CN"/>
        </w:rPr>
        <w:t xml:space="preserve"> A549/DDP </w:t>
      </w:r>
      <w:r>
        <w:rPr>
          <w:rStyle w:val="any"/>
          <w:rFonts w:ascii="PMingLiU" w:eastAsia="PMingLiU" w:hAnsi="PMingLiU" w:cs="PMingLiU"/>
          <w:b w:val="0"/>
          <w:bCs w:val="0"/>
          <w:i w:val="0"/>
          <w:iCs w:val="0"/>
          <w:caps w:val="0"/>
          <w:color w:val="212121"/>
          <w:spacing w:val="0"/>
          <w:sz w:val="21"/>
          <w:szCs w:val="21"/>
          <w:lang w:val="zh-CN" w:eastAsia="zh-CN"/>
        </w:rPr>
        <w:t>细胞中敲低</w:t>
      </w:r>
      <w:r>
        <w:rPr>
          <w:rStyle w:val="any"/>
          <w:rFonts w:ascii="Segoe UI" w:eastAsia="Segoe UI" w:hAnsi="Segoe UI" w:cs="Segoe UI"/>
          <w:b w:val="0"/>
          <w:bCs w:val="0"/>
          <w:i w:val="0"/>
          <w:iCs w:val="0"/>
          <w:caps w:val="0"/>
          <w:color w:val="212121"/>
          <w:spacing w:val="0"/>
          <w:sz w:val="21"/>
          <w:szCs w:val="21"/>
          <w:lang w:val="zh-CN" w:eastAsia="zh-CN"/>
        </w:rPr>
        <w:t xml:space="preserve"> LncRNA XIST </w:t>
      </w:r>
      <w:r>
        <w:rPr>
          <w:rStyle w:val="any"/>
          <w:rFonts w:ascii="PMingLiU" w:eastAsia="PMingLiU" w:hAnsi="PMingLiU" w:cs="PMingLiU"/>
          <w:b w:val="0"/>
          <w:bCs w:val="0"/>
          <w:i w:val="0"/>
          <w:iCs w:val="0"/>
          <w:caps w:val="0"/>
          <w:color w:val="212121"/>
          <w:spacing w:val="0"/>
          <w:sz w:val="21"/>
          <w:szCs w:val="21"/>
          <w:lang w:val="zh-CN" w:eastAsia="zh-CN"/>
        </w:rPr>
        <w:t>会降低化疗耐药性。我们发现</w:t>
      </w:r>
      <w:r>
        <w:rPr>
          <w:rStyle w:val="any"/>
          <w:rFonts w:ascii="Segoe UI" w:eastAsia="Segoe UI" w:hAnsi="Segoe UI" w:cs="Segoe UI"/>
          <w:b w:val="0"/>
          <w:bCs w:val="0"/>
          <w:i w:val="0"/>
          <w:iCs w:val="0"/>
          <w:caps w:val="0"/>
          <w:color w:val="212121"/>
          <w:spacing w:val="0"/>
          <w:sz w:val="21"/>
          <w:szCs w:val="21"/>
          <w:lang w:val="zh-CN" w:eastAsia="zh-CN"/>
        </w:rPr>
        <w:t xml:space="preserve"> XIST </w:t>
      </w:r>
      <w:r>
        <w:rPr>
          <w:rStyle w:val="any"/>
          <w:rFonts w:ascii="PMingLiU" w:eastAsia="PMingLiU" w:hAnsi="PMingLiU" w:cs="PMingLiU"/>
          <w:b w:val="0"/>
          <w:bCs w:val="0"/>
          <w:i w:val="0"/>
          <w:iCs w:val="0"/>
          <w:caps w:val="0"/>
          <w:color w:val="212121"/>
          <w:spacing w:val="0"/>
          <w:sz w:val="21"/>
          <w:szCs w:val="21"/>
          <w:lang w:val="zh-CN" w:eastAsia="zh-CN"/>
        </w:rPr>
        <w:t>作为竞争性内源</w:t>
      </w:r>
      <w:r>
        <w:rPr>
          <w:rStyle w:val="any"/>
          <w:rFonts w:ascii="Segoe UI" w:eastAsia="Segoe UI" w:hAnsi="Segoe UI" w:cs="Segoe UI"/>
          <w:b w:val="0"/>
          <w:bCs w:val="0"/>
          <w:i w:val="0"/>
          <w:iCs w:val="0"/>
          <w:caps w:val="0"/>
          <w:color w:val="212121"/>
          <w:spacing w:val="0"/>
          <w:sz w:val="21"/>
          <w:szCs w:val="21"/>
          <w:lang w:val="zh-CN" w:eastAsia="zh-CN"/>
        </w:rPr>
        <w:t xml:space="preserve"> RNA </w:t>
      </w:r>
      <w:r>
        <w:rPr>
          <w:rStyle w:val="any"/>
          <w:rFonts w:ascii="PMingLiU" w:eastAsia="PMingLiU" w:hAnsi="PMingLiU" w:cs="PMingLiU"/>
          <w:b w:val="0"/>
          <w:bCs w:val="0"/>
          <w:i w:val="0"/>
          <w:iCs w:val="0"/>
          <w:caps w:val="0"/>
          <w:color w:val="212121"/>
          <w:spacing w:val="0"/>
          <w:sz w:val="21"/>
          <w:szCs w:val="21"/>
          <w:lang w:val="zh-CN" w:eastAsia="zh-CN"/>
        </w:rPr>
        <w:t>抑制</w:t>
      </w:r>
      <w:r>
        <w:rPr>
          <w:rStyle w:val="any"/>
          <w:rFonts w:ascii="Segoe UI" w:eastAsia="Segoe UI" w:hAnsi="Segoe UI" w:cs="Segoe UI"/>
          <w:b w:val="0"/>
          <w:bCs w:val="0"/>
          <w:i w:val="0"/>
          <w:iCs w:val="0"/>
          <w:caps w:val="0"/>
          <w:color w:val="212121"/>
          <w:spacing w:val="0"/>
          <w:sz w:val="21"/>
          <w:szCs w:val="21"/>
          <w:lang w:val="zh-CN" w:eastAsia="zh-CN"/>
        </w:rPr>
        <w:t xml:space="preserve"> let-7i</w:t>
      </w:r>
      <w:r>
        <w:rPr>
          <w:rStyle w:val="any"/>
          <w:rFonts w:ascii="PMingLiU" w:eastAsia="PMingLiU" w:hAnsi="PMingLiU" w:cs="PMingLiU"/>
          <w:b w:val="0"/>
          <w:bCs w:val="0"/>
          <w:i w:val="0"/>
          <w:iCs w:val="0"/>
          <w:caps w:val="0"/>
          <w:color w:val="212121"/>
          <w:spacing w:val="0"/>
          <w:sz w:val="21"/>
          <w:szCs w:val="21"/>
          <w:lang w:val="zh-CN" w:eastAsia="zh-CN"/>
        </w:rPr>
        <w:t>，从而控制其下游靶标</w:t>
      </w:r>
      <w:r>
        <w:rPr>
          <w:rStyle w:val="any"/>
          <w:rFonts w:ascii="Segoe UI" w:eastAsia="Segoe UI" w:hAnsi="Segoe UI" w:cs="Segoe UI"/>
          <w:b w:val="0"/>
          <w:bCs w:val="0"/>
          <w:i w:val="0"/>
          <w:iCs w:val="0"/>
          <w:caps w:val="0"/>
          <w:color w:val="212121"/>
          <w:spacing w:val="0"/>
          <w:sz w:val="21"/>
          <w:szCs w:val="21"/>
          <w:lang w:val="zh-CN" w:eastAsia="zh-CN"/>
        </w:rPr>
        <w:t xml:space="preserve"> BAG-1</w:t>
      </w:r>
      <w:r>
        <w:rPr>
          <w:rStyle w:val="any"/>
          <w:rFonts w:ascii="PMingLiU" w:eastAsia="PMingLiU" w:hAnsi="PMingLiU" w:cs="PMingLiU"/>
          <w:b w:val="0"/>
          <w:bCs w:val="0"/>
          <w:i w:val="0"/>
          <w:iCs w:val="0"/>
          <w:caps w:val="0"/>
          <w:color w:val="212121"/>
          <w:spacing w:val="0"/>
          <w:sz w:val="21"/>
          <w:szCs w:val="21"/>
          <w:lang w:val="zh-CN" w:eastAsia="zh-CN"/>
        </w:rPr>
        <w:t>。我们提出</w:t>
      </w:r>
      <w:r>
        <w:rPr>
          <w:rStyle w:val="any"/>
          <w:rFonts w:ascii="Segoe UI" w:eastAsia="Segoe UI" w:hAnsi="Segoe UI" w:cs="Segoe UI"/>
          <w:b w:val="0"/>
          <w:bCs w:val="0"/>
          <w:i w:val="0"/>
          <w:iCs w:val="0"/>
          <w:caps w:val="0"/>
          <w:color w:val="212121"/>
          <w:spacing w:val="0"/>
          <w:sz w:val="21"/>
          <w:szCs w:val="21"/>
          <w:lang w:val="zh-CN" w:eastAsia="zh-CN"/>
        </w:rPr>
        <w:t xml:space="preserve"> XIST </w:t>
      </w:r>
      <w:r>
        <w:rPr>
          <w:rStyle w:val="any"/>
          <w:rFonts w:ascii="PMingLiU" w:eastAsia="PMingLiU" w:hAnsi="PMingLiU" w:cs="PMingLiU"/>
          <w:b w:val="0"/>
          <w:bCs w:val="0"/>
          <w:i w:val="0"/>
          <w:iCs w:val="0"/>
          <w:caps w:val="0"/>
          <w:color w:val="212121"/>
          <w:spacing w:val="0"/>
          <w:sz w:val="21"/>
          <w:szCs w:val="21"/>
          <w:lang w:val="zh-CN" w:eastAsia="zh-CN"/>
        </w:rPr>
        <w:t>负责</w:t>
      </w:r>
      <w:r>
        <w:rPr>
          <w:rStyle w:val="any"/>
          <w:rFonts w:ascii="Segoe UI" w:eastAsia="Segoe UI" w:hAnsi="Segoe UI" w:cs="Segoe UI"/>
          <w:b w:val="0"/>
          <w:bCs w:val="0"/>
          <w:i w:val="0"/>
          <w:iCs w:val="0"/>
          <w:caps w:val="0"/>
          <w:color w:val="212121"/>
          <w:spacing w:val="0"/>
          <w:sz w:val="21"/>
          <w:szCs w:val="21"/>
          <w:lang w:val="zh-CN" w:eastAsia="zh-CN"/>
        </w:rPr>
        <w:t xml:space="preserve"> LAD </w:t>
      </w:r>
      <w:r>
        <w:rPr>
          <w:rStyle w:val="any"/>
          <w:rFonts w:ascii="PMingLiU" w:eastAsia="PMingLiU" w:hAnsi="PMingLiU" w:cs="PMingLiU"/>
          <w:b w:val="0"/>
          <w:bCs w:val="0"/>
          <w:i w:val="0"/>
          <w:iCs w:val="0"/>
          <w:caps w:val="0"/>
          <w:color w:val="212121"/>
          <w:spacing w:val="0"/>
          <w:sz w:val="21"/>
          <w:szCs w:val="21"/>
          <w:lang w:val="zh-CN" w:eastAsia="zh-CN"/>
        </w:rPr>
        <w:t>细胞的顺铂耐药性，并通过</w:t>
      </w:r>
      <w:r>
        <w:rPr>
          <w:rStyle w:val="any"/>
          <w:rFonts w:ascii="Segoe UI" w:eastAsia="Segoe UI" w:hAnsi="Segoe UI" w:cs="Segoe UI"/>
          <w:b w:val="0"/>
          <w:bCs w:val="0"/>
          <w:i w:val="0"/>
          <w:iCs w:val="0"/>
          <w:caps w:val="0"/>
          <w:color w:val="212121"/>
          <w:spacing w:val="0"/>
          <w:sz w:val="21"/>
          <w:szCs w:val="21"/>
          <w:lang w:val="zh-CN" w:eastAsia="zh-CN"/>
        </w:rPr>
        <w:t xml:space="preserve"> let-7i/BAG-1 </w:t>
      </w:r>
      <w:r>
        <w:rPr>
          <w:rStyle w:val="any"/>
          <w:rFonts w:ascii="PMingLiU" w:eastAsia="PMingLiU" w:hAnsi="PMingLiU" w:cs="PMingLiU"/>
          <w:b w:val="0"/>
          <w:bCs w:val="0"/>
          <w:i w:val="0"/>
          <w:iCs w:val="0"/>
          <w:caps w:val="0"/>
          <w:color w:val="212121"/>
          <w:spacing w:val="0"/>
          <w:sz w:val="21"/>
          <w:szCs w:val="21"/>
          <w:lang w:val="zh-CN" w:eastAsia="zh-CN"/>
        </w:rPr>
        <w:t>轴发挥其功能。</w:t>
      </w:r>
      <w:r>
        <w:rPr>
          <w:rStyle w:val="any"/>
          <w:rFonts w:ascii="Segoe UI" w:eastAsia="Segoe UI" w:hAnsi="Segoe UI" w:cs="Segoe UI"/>
          <w:b w:val="0"/>
          <w:bCs w:val="0"/>
          <w:i w:val="0"/>
          <w:iCs w:val="0"/>
          <w:caps w:val="0"/>
          <w:color w:val="212121"/>
          <w:spacing w:val="0"/>
          <w:sz w:val="21"/>
          <w:szCs w:val="21"/>
          <w:lang w:val="zh-CN" w:eastAsia="zh-CN"/>
        </w:rPr>
        <w:t xml:space="preserve"> </w:t>
      </w:r>
      <w:r>
        <w:rPr>
          <w:rStyle w:val="any"/>
          <w:rFonts w:ascii="PMingLiU" w:eastAsia="PMingLiU" w:hAnsi="PMingLiU" w:cs="PMingLiU"/>
          <w:b w:val="0"/>
          <w:bCs w:val="0"/>
          <w:i w:val="0"/>
          <w:iCs w:val="0"/>
          <w:caps w:val="0"/>
          <w:color w:val="212121"/>
          <w:spacing w:val="0"/>
          <w:sz w:val="21"/>
          <w:szCs w:val="21"/>
          <w:lang w:val="zh-CN" w:eastAsia="zh-CN"/>
        </w:rPr>
        <w:t>我们的研究发现，长链非编码</w:t>
      </w:r>
      <w:r>
        <w:rPr>
          <w:rStyle w:val="any"/>
          <w:rFonts w:ascii="Segoe UI" w:eastAsia="Segoe UI" w:hAnsi="Segoe UI" w:cs="Segoe UI"/>
          <w:b w:val="0"/>
          <w:bCs w:val="0"/>
          <w:i w:val="0"/>
          <w:iCs w:val="0"/>
          <w:caps w:val="0"/>
          <w:color w:val="212121"/>
          <w:spacing w:val="0"/>
          <w:sz w:val="21"/>
          <w:szCs w:val="21"/>
          <w:lang w:val="zh-CN" w:eastAsia="zh-CN"/>
        </w:rPr>
        <w:t xml:space="preserve"> RNA XIST </w:t>
      </w:r>
      <w:r>
        <w:rPr>
          <w:rStyle w:val="any"/>
          <w:rFonts w:ascii="PMingLiU" w:eastAsia="PMingLiU" w:hAnsi="PMingLiU" w:cs="PMingLiU"/>
          <w:b w:val="0"/>
          <w:bCs w:val="0"/>
          <w:i w:val="0"/>
          <w:iCs w:val="0"/>
          <w:caps w:val="0"/>
          <w:color w:val="212121"/>
          <w:spacing w:val="0"/>
          <w:sz w:val="21"/>
          <w:szCs w:val="21"/>
          <w:lang w:val="zh-CN" w:eastAsia="zh-CN"/>
        </w:rPr>
        <w:t>可能成为顺铂耐药性不良反应的新标志，并可能成为</w:t>
      </w:r>
      <w:r>
        <w:rPr>
          <w:rStyle w:val="any"/>
          <w:rFonts w:ascii="Segoe UI" w:eastAsia="Segoe UI" w:hAnsi="Segoe UI" w:cs="Segoe UI"/>
          <w:b w:val="0"/>
          <w:bCs w:val="0"/>
          <w:i w:val="0"/>
          <w:iCs w:val="0"/>
          <w:caps w:val="0"/>
          <w:color w:val="212121"/>
          <w:spacing w:val="0"/>
          <w:sz w:val="21"/>
          <w:szCs w:val="21"/>
          <w:lang w:val="zh-CN" w:eastAsia="zh-CN"/>
        </w:rPr>
        <w:t xml:space="preserve"> LAD </w:t>
      </w:r>
      <w:r>
        <w:rPr>
          <w:rStyle w:val="any"/>
          <w:rFonts w:ascii="PMingLiU" w:eastAsia="PMingLiU" w:hAnsi="PMingLiU" w:cs="PMingLiU"/>
          <w:b w:val="0"/>
          <w:bCs w:val="0"/>
          <w:i w:val="0"/>
          <w:iCs w:val="0"/>
          <w:caps w:val="0"/>
          <w:color w:val="212121"/>
          <w:spacing w:val="0"/>
          <w:sz w:val="21"/>
          <w:szCs w:val="21"/>
          <w:lang w:val="zh-CN" w:eastAsia="zh-CN"/>
        </w:rPr>
        <w:t>化疗的潜在治疗靶点。</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9"/>
          <w:sz w:val="36"/>
          <w:szCs w:val="36"/>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color w:val="9A3030"/>
          <w:spacing w:val="22"/>
          <w:sz w:val="27"/>
          <w:szCs w:val="27"/>
        </w:rPr>
        <w:t>具体说明</w:t>
      </w:r>
    </w:p>
    <w:p>
      <w:pP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74631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23648" name=""/>
                    <pic:cNvPicPr>
                      <a:picLocks noChangeAspect="1"/>
                    </pic:cNvPicPr>
                  </pic:nvPicPr>
                  <pic:blipFill>
                    <a:blip xmlns:r="http://schemas.openxmlformats.org/officeDocument/2006/relationships" r:embed="rId7"/>
                    <a:stretch>
                      <a:fillRect/>
                    </a:stretch>
                  </pic:blipFill>
                  <pic:spPr>
                    <a:xfrm>
                      <a:off x="0" y="0"/>
                      <a:ext cx="5486400" cy="7463118"/>
                    </a:xfrm>
                    <a:prstGeom prst="rect">
                      <a:avLst/>
                    </a:prstGeom>
                  </pic:spPr>
                </pic:pic>
              </a:graphicData>
            </a:graphic>
          </wp:inline>
        </w:drawing>
      </w:r>
    </w:p>
    <w:p>
      <w:pP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215608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6980" name=""/>
                    <pic:cNvPicPr>
                      <a:picLocks noChangeAspect="1"/>
                    </pic:cNvPicPr>
                  </pic:nvPicPr>
                  <pic:blipFill>
                    <a:blip xmlns:r="http://schemas.openxmlformats.org/officeDocument/2006/relationships" r:embed="rId8"/>
                    <a:stretch>
                      <a:fillRect/>
                    </a:stretch>
                  </pic:blipFill>
                  <pic:spPr>
                    <a:xfrm>
                      <a:off x="0" y="0"/>
                      <a:ext cx="5486400" cy="2156082"/>
                    </a:xfrm>
                    <a:prstGeom prst="rect">
                      <a:avLst/>
                    </a:prstGeom>
                  </pic:spPr>
                </pic:pic>
              </a:graphicData>
            </a:graphic>
          </wp:inline>
        </w:drawing>
      </w:r>
    </w:p>
    <w:p>
      <w:pP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343398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41691" name=""/>
                    <pic:cNvPicPr>
                      <a:picLocks noChangeAspect="1"/>
                    </pic:cNvPicPr>
                  </pic:nvPicPr>
                  <pic:blipFill>
                    <a:blip xmlns:r="http://schemas.openxmlformats.org/officeDocument/2006/relationships" r:embed="rId9"/>
                    <a:stretch>
                      <a:fillRect/>
                    </a:stretch>
                  </pic:blipFill>
                  <pic:spPr>
                    <a:xfrm>
                      <a:off x="0" y="0"/>
                      <a:ext cx="5486400" cy="3433982"/>
                    </a:xfrm>
                    <a:prstGeom prst="rect">
                      <a:avLst/>
                    </a:prstGeom>
                  </pic:spPr>
                </pic:pic>
              </a:graphicData>
            </a:graphic>
          </wp:inline>
        </w:drawing>
      </w:r>
    </w:p>
    <w:p>
      <w:pP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404155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95362" name=""/>
                    <pic:cNvPicPr>
                      <a:picLocks noChangeAspect="1"/>
                    </pic:cNvPicPr>
                  </pic:nvPicPr>
                  <pic:blipFill>
                    <a:blip xmlns:r="http://schemas.openxmlformats.org/officeDocument/2006/relationships" r:embed="rId10"/>
                    <a:stretch>
                      <a:fillRect/>
                    </a:stretch>
                  </pic:blipFill>
                  <pic:spPr>
                    <a:xfrm>
                      <a:off x="0" y="0"/>
                      <a:ext cx="5486400" cy="40415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PMingLiU" w:eastAsia="PMingLiU" w:hAnsi="PMingLiU" w:cs="PMingLiU"/>
          <w:b/>
          <w:bCs/>
          <w:color w:val="3E3E3E"/>
          <w:spacing w:val="9"/>
          <w:sz w:val="21"/>
          <w:szCs w:val="21"/>
        </w:rPr>
        <w:t>参考信息</w:t>
      </w:r>
      <w:r>
        <w:rPr>
          <w:rStyle w:val="any"/>
          <w:rFonts w:ascii="Times New Roman" w:eastAsia="Times New Roman" w:hAnsi="Times New Roman" w:cs="Times New Roman"/>
          <w:b/>
          <w:bCs/>
          <w:color w:val="3E3E3E"/>
          <w:spacing w:val="9"/>
          <w:sz w:val="21"/>
          <w:szCs w:val="21"/>
        </w:rPr>
        <w:br/>
      </w:r>
      <w:r>
        <w:rPr>
          <w:rStyle w:val="any"/>
          <w:rFonts w:ascii="Times New Roman" w:eastAsia="Times New Roman" w:hAnsi="Times New Roman" w:cs="Times New Roman"/>
          <w:b/>
          <w:bCs/>
          <w:color w:val="3E3E3E"/>
          <w:spacing w:val="9"/>
          <w:sz w:val="18"/>
          <w:szCs w:val="18"/>
        </w:rPr>
        <w:t>https://pubmed.ncbi.nlm.nih.gov/28961027/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b/>
          <w:bCs/>
          <w:color w:val="3E3E3E"/>
          <w:spacing w:val="9"/>
          <w:sz w:val="18"/>
          <w:szCs w:val="18"/>
        </w:rPr>
        <w:t>https://pubpeer.com/publications/D09F632A9CB345788E2DAD3083A5C4</w:t>
      </w:r>
      <w:r>
        <w:rPr>
          <w:rStyle w:val="a"/>
          <w:rFonts w:ascii="Times New Roman" w:eastAsia="Times New Roman" w:hAnsi="Times New Roman" w:cs="Times New Roman"/>
          <w:b/>
          <w:bCs/>
          <w:spacing w:val="9"/>
          <w:sz w:val="18"/>
          <w:szCs w:val="18"/>
        </w:rPr>
        <w:t>#0</w:t>
      </w:r>
    </w:p>
    <w:p>
      <w:pPr>
        <w:pStyle w:val="anyParagraph"/>
        <w:numPr>
          <w:ilvl w:val="0"/>
          <w:numId w:val="1"/>
        </w:numPr>
        <w:shd w:val="clear" w:color="auto" w:fill="FFFFFF"/>
        <w:spacing w:before="150" w:after="0" w:line="390" w:lineRule="atLeast"/>
        <w:ind w:left="840" w:right="46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840" w:right="46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131&amp;idx=1&amp;sn=ad217ee3c0353d6d4315bbafd91c089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