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集美大学</w:t>
        </w:r>
        <w:r>
          <w:rPr>
            <w:rStyle w:val="a"/>
            <w:rFonts w:ascii="Times New Roman" w:eastAsia="Times New Roman" w:hAnsi="Times New Roman" w:cs="Times New Roman"/>
            <w:b w:val="0"/>
            <w:bCs w:val="0"/>
            <w:spacing w:val="8"/>
          </w:rPr>
          <w:t>Marine Drugs</w:t>
        </w:r>
        <w:r>
          <w:rPr>
            <w:rStyle w:val="a"/>
            <w:rFonts w:ascii="PMingLiU" w:eastAsia="PMingLiU" w:hAnsi="PMingLiU" w:cs="PMingLiU"/>
            <w:b w:val="0"/>
            <w:bCs w:val="0"/>
            <w:spacing w:val="8"/>
          </w:rPr>
          <w:t>图片被质疑，作者已回复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2025-04-28 23:40:20</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8695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35992" name=""/>
                    <pic:cNvPicPr>
                      <a:picLocks noChangeAspect="1"/>
                    </pic:cNvPicPr>
                  </pic:nvPicPr>
                  <pic:blipFill>
                    <a:blip xmlns:r="http://schemas.openxmlformats.org/officeDocument/2006/relationships" r:embed="rId6"/>
                    <a:stretch>
                      <a:fillRect/>
                    </a:stretch>
                  </pic:blipFill>
                  <pic:spPr>
                    <a:xfrm>
                      <a:off x="0" y="0"/>
                      <a:ext cx="5486400" cy="2286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Preventive Effect of Depolymerized Sulfated Galactans from Eucheuma serra on Enterotoxigenic Escherichia coli-Caused Diarrhea via Modulating Intestinal Flora in Mice</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Marine Drugs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厦门</w:t>
      </w:r>
      <w:r>
        <w:rPr>
          <w:rStyle w:val="any"/>
          <w:rFonts w:ascii="Microsoft YaHei UI" w:eastAsia="Microsoft YaHei UI" w:hAnsi="Microsoft YaHei UI" w:cs="Microsoft YaHei UI"/>
          <w:color w:val="9A3030"/>
          <w:spacing w:val="9"/>
          <w:sz w:val="21"/>
          <w:szCs w:val="21"/>
        </w:rPr>
        <w:t>集美大学8浙江工商大学</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2021年2月1日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10.3390/md19020080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3E3E3E"/>
          <w:spacing w:val="9"/>
          <w:sz w:val="21"/>
          <w:szCs w:val="21"/>
          <w:lang w:val="zh-CN" w:eastAsia="zh-CN"/>
        </w:rPr>
        <w:t>In this work, the preventive effect of depolymerized sulfated polysaccharides from </w:t>
      </w:r>
      <w:r>
        <w:rPr>
          <w:rStyle w:val="any"/>
          <w:rFonts w:ascii="Times New Roman" w:eastAsia="Times New Roman" w:hAnsi="Times New Roman" w:cs="Times New Roman"/>
          <w:i/>
          <w:iCs/>
          <w:color w:val="3E3E3E"/>
          <w:spacing w:val="9"/>
          <w:sz w:val="21"/>
          <w:szCs w:val="21"/>
          <w:lang w:val="zh-CN" w:eastAsia="zh-CN"/>
        </w:rPr>
        <w:t>Eucheuma serra</w:t>
      </w:r>
      <w:r>
        <w:rPr>
          <w:rStyle w:val="any"/>
          <w:rFonts w:ascii="Times New Roman" w:eastAsia="Times New Roman" w:hAnsi="Times New Roman" w:cs="Times New Roman"/>
          <w:color w:val="3E3E3E"/>
          <w:spacing w:val="9"/>
          <w:sz w:val="21"/>
          <w:szCs w:val="21"/>
          <w:lang w:val="zh-CN" w:eastAsia="zh-CN"/>
        </w:rPr>
        <w:t> (DESP) on bacterial diarrhea by regulating intestinal flora was investigated in vivo. Based on the enterotoxigenic </w:t>
      </w:r>
      <w:r>
        <w:rPr>
          <w:rStyle w:val="any"/>
          <w:rFonts w:ascii="Times New Roman" w:eastAsia="Times New Roman" w:hAnsi="Times New Roman" w:cs="Times New Roman"/>
          <w:i/>
          <w:iCs/>
          <w:color w:val="3E3E3E"/>
          <w:spacing w:val="9"/>
          <w:sz w:val="21"/>
          <w:szCs w:val="21"/>
          <w:lang w:val="zh-CN" w:eastAsia="zh-CN"/>
        </w:rPr>
        <w:t>Escherichia coli</w:t>
      </w:r>
      <w:r>
        <w:rPr>
          <w:rStyle w:val="any"/>
          <w:rFonts w:ascii="Times New Roman" w:eastAsia="Times New Roman" w:hAnsi="Times New Roman" w:cs="Times New Roman"/>
          <w:color w:val="3E3E3E"/>
          <w:spacing w:val="9"/>
          <w:sz w:val="21"/>
          <w:szCs w:val="21"/>
          <w:lang w:val="zh-CN" w:eastAsia="zh-CN"/>
        </w:rPr>
        <w:t> (ETEC)-infected mouse diarrhea model, DESP at doses ranging from 50 mg/kg to 200 mg/kg alleviated weight loss and decreased the diarrhea rate and diarrhea index. Serological tests showed that the levels of inflammation-related factors were effectively suppressed. Furthermore, the repaired intestinal mucosa was verified by morphology and pathological tissue section observations. Compared with the model group, the richness and diversity of the intestinal flora in the DESP group increased according to the 16S rRNA high-throughput sequencing of the gut microbiota. Specifically, </w:t>
      </w:r>
      <w:r>
        <w:rPr>
          <w:rStyle w:val="any"/>
          <w:rFonts w:ascii="Times New Roman" w:eastAsia="Times New Roman" w:hAnsi="Times New Roman" w:cs="Times New Roman"/>
          <w:i/>
          <w:iCs/>
          <w:color w:val="3E3E3E"/>
          <w:spacing w:val="9"/>
          <w:sz w:val="21"/>
          <w:szCs w:val="21"/>
          <w:lang w:val="zh-CN" w:eastAsia="zh-CN"/>
        </w:rPr>
        <w:t>Firmicutes</w:t>
      </w:r>
      <w:r>
        <w:rPr>
          <w:rStyle w:val="any"/>
          <w:rFonts w:ascii="Times New Roman" w:eastAsia="Times New Roman" w:hAnsi="Times New Roman" w:cs="Times New Roman"/>
          <w:color w:val="3E3E3E"/>
          <w:spacing w:val="9"/>
          <w:sz w:val="21"/>
          <w:szCs w:val="21"/>
          <w:lang w:val="zh-CN" w:eastAsia="zh-CN"/>
        </w:rPr>
        <w:t> and </w:t>
      </w:r>
      <w:r>
        <w:rPr>
          <w:rStyle w:val="any"/>
          <w:rFonts w:ascii="Times New Roman" w:eastAsia="Times New Roman" w:hAnsi="Times New Roman" w:cs="Times New Roman"/>
          <w:i/>
          <w:iCs/>
          <w:color w:val="3E3E3E"/>
          <w:spacing w:val="9"/>
          <w:sz w:val="21"/>
          <w:szCs w:val="21"/>
          <w:lang w:val="zh-CN" w:eastAsia="zh-CN"/>
        </w:rPr>
        <w:t>Actinobacteria</w:t>
      </w:r>
      <w:r>
        <w:rPr>
          <w:rStyle w:val="any"/>
          <w:rFonts w:ascii="Times New Roman" w:eastAsia="Times New Roman" w:hAnsi="Times New Roman" w:cs="Times New Roman"/>
          <w:color w:val="3E3E3E"/>
          <w:spacing w:val="9"/>
          <w:sz w:val="21"/>
          <w:szCs w:val="21"/>
          <w:lang w:val="zh-CN" w:eastAsia="zh-CN"/>
        </w:rPr>
        <w:t> increased, and </w:t>
      </w:r>
      <w:r>
        <w:rPr>
          <w:rStyle w:val="any"/>
          <w:rFonts w:ascii="Times New Roman" w:eastAsia="Times New Roman" w:hAnsi="Times New Roman" w:cs="Times New Roman"/>
          <w:i/>
          <w:iCs/>
          <w:color w:val="3E3E3E"/>
          <w:spacing w:val="9"/>
          <w:sz w:val="21"/>
          <w:szCs w:val="21"/>
          <w:lang w:val="zh-CN" w:eastAsia="zh-CN"/>
        </w:rPr>
        <w:t>Proteobacteria</w:t>
      </w:r>
      <w:r>
        <w:rPr>
          <w:rStyle w:val="any"/>
          <w:rFonts w:ascii="Times New Roman" w:eastAsia="Times New Roman" w:hAnsi="Times New Roman" w:cs="Times New Roman"/>
          <w:color w:val="3E3E3E"/>
          <w:spacing w:val="9"/>
          <w:sz w:val="21"/>
          <w:szCs w:val="21"/>
          <w:lang w:val="zh-CN" w:eastAsia="zh-CN"/>
        </w:rPr>
        <w:t> decreased after DESP administration. At the family level, DESP effectively improved the abundance of </w:t>
      </w:r>
      <w:r>
        <w:rPr>
          <w:rStyle w:val="any"/>
          <w:rFonts w:ascii="Times New Roman" w:eastAsia="Times New Roman" w:hAnsi="Times New Roman" w:cs="Times New Roman"/>
          <w:i/>
          <w:iCs/>
          <w:color w:val="3E3E3E"/>
          <w:spacing w:val="9"/>
          <w:sz w:val="21"/>
          <w:szCs w:val="21"/>
          <w:lang w:val="zh-CN" w:eastAsia="zh-CN"/>
        </w:rPr>
        <w:t>Lactobacillaceae</w:t>
      </w:r>
      <w:r>
        <w:rPr>
          <w:rStyle w:val="any"/>
          <w:rFonts w:ascii="Times New Roman" w:eastAsia="Times New Roman" w:hAnsi="Times New Roman" w:cs="Times New Roman"/>
          <w:color w:val="3E3E3E"/>
          <w:spacing w:val="9"/>
          <w:sz w:val="21"/>
          <w:szCs w:val="21"/>
          <w:lang w:val="zh-CN" w:eastAsia="zh-CN"/>
        </w:rPr>
        <w:t>, </w:t>
      </w:r>
      <w:r>
        <w:rPr>
          <w:rStyle w:val="any"/>
          <w:rFonts w:ascii="Times New Roman" w:eastAsia="Times New Roman" w:hAnsi="Times New Roman" w:cs="Times New Roman"/>
          <w:i/>
          <w:iCs/>
          <w:color w:val="3E3E3E"/>
          <w:spacing w:val="9"/>
          <w:sz w:val="21"/>
          <w:szCs w:val="21"/>
          <w:lang w:val="zh-CN" w:eastAsia="zh-CN"/>
        </w:rPr>
        <w:t>Bifidobacteriaceae</w:t>
      </w:r>
      <w:r>
        <w:rPr>
          <w:rStyle w:val="any"/>
          <w:rFonts w:ascii="Times New Roman" w:eastAsia="Times New Roman" w:hAnsi="Times New Roman" w:cs="Times New Roman"/>
          <w:color w:val="3E3E3E"/>
          <w:spacing w:val="9"/>
          <w:sz w:val="21"/>
          <w:szCs w:val="21"/>
          <w:lang w:val="zh-CN" w:eastAsia="zh-CN"/>
        </w:rPr>
        <w:t>, and </w:t>
      </w:r>
      <w:r>
        <w:rPr>
          <w:rStyle w:val="any"/>
          <w:rFonts w:ascii="Times New Roman" w:eastAsia="Times New Roman" w:hAnsi="Times New Roman" w:cs="Times New Roman"/>
          <w:i/>
          <w:iCs/>
          <w:color w:val="3E3E3E"/>
          <w:spacing w:val="9"/>
          <w:sz w:val="21"/>
          <w:szCs w:val="21"/>
          <w:lang w:val="zh-CN" w:eastAsia="zh-CN"/>
        </w:rPr>
        <w:t>Lachnospiraceae</w:t>
      </w:r>
      <w:r>
        <w:rPr>
          <w:rStyle w:val="any"/>
          <w:rFonts w:ascii="Times New Roman" w:eastAsia="Times New Roman" w:hAnsi="Times New Roman" w:cs="Times New Roman"/>
          <w:color w:val="3E3E3E"/>
          <w:spacing w:val="9"/>
          <w:sz w:val="21"/>
          <w:szCs w:val="21"/>
          <w:lang w:val="zh-CN" w:eastAsia="zh-CN"/>
        </w:rPr>
        <w:t>, while significantly inhibiting the growth of </w:t>
      </w:r>
      <w:r>
        <w:rPr>
          <w:rStyle w:val="any"/>
          <w:rFonts w:ascii="Times New Roman" w:eastAsia="Times New Roman" w:hAnsi="Times New Roman" w:cs="Times New Roman"/>
          <w:i/>
          <w:iCs/>
          <w:color w:val="3E3E3E"/>
          <w:spacing w:val="9"/>
          <w:sz w:val="21"/>
          <w:szCs w:val="21"/>
          <w:lang w:val="zh-CN" w:eastAsia="zh-CN"/>
        </w:rPr>
        <w:t>Enterobacteriaceae</w:t>
      </w:r>
      <w:r>
        <w:rPr>
          <w:rStyle w:val="any"/>
          <w:rFonts w:ascii="Times New Roman" w:eastAsia="Times New Roman" w:hAnsi="Times New Roman" w:cs="Times New Roman"/>
          <w:color w:val="3E3E3E"/>
          <w:spacing w:val="9"/>
          <w:sz w:val="21"/>
          <w:szCs w:val="21"/>
          <w:lang w:val="zh-CN" w:eastAsia="zh-CN"/>
        </w:rPr>
        <w:t>. Therefore, the antimicrobial diarrhea function of DESP may be related to the regulation of intestinal microbiota.</w:t>
      </w:r>
      <w:r>
        <w:rPr>
          <w:rStyle w:val="any"/>
          <w:rFonts w:ascii="Times New Roman" w:eastAsia="Times New Roman" w:hAnsi="Times New Roman" w:cs="Times New Roman"/>
          <w:color w:val="3E3E3E"/>
          <w:spacing w:val="9"/>
          <w:sz w:val="21"/>
          <w:szCs w:val="21"/>
          <w:lang w:val="zh-CN" w:eastAsia="zh-CN"/>
        </w:rPr>
        <w:br/>
      </w:r>
      <w:r>
        <w:rPr>
          <w:rStyle w:val="any"/>
          <w:rFonts w:ascii="PMingLiU" w:eastAsia="PMingLiU" w:hAnsi="PMingLiU" w:cs="PMingLiU"/>
          <w:color w:val="3E3E3E"/>
          <w:spacing w:val="9"/>
          <w:sz w:val="21"/>
          <w:szCs w:val="21"/>
          <w:lang w:val="zh-CN" w:eastAsia="zh-CN"/>
        </w:rPr>
        <w:t>在这项研究中，通过调节肠道菌群，研究了从麒麟菜（</w:t>
      </w:r>
      <w:r>
        <w:rPr>
          <w:rStyle w:val="any"/>
          <w:rFonts w:ascii="Times New Roman" w:eastAsia="Times New Roman" w:hAnsi="Times New Roman" w:cs="Times New Roman"/>
          <w:color w:val="3E3E3E"/>
          <w:spacing w:val="9"/>
          <w:sz w:val="21"/>
          <w:szCs w:val="21"/>
          <w:lang w:val="zh-CN" w:eastAsia="zh-CN"/>
        </w:rPr>
        <w:t>Eucheuma serra</w:t>
      </w:r>
      <w:r>
        <w:rPr>
          <w:rStyle w:val="any"/>
          <w:rFonts w:ascii="PMingLiU" w:eastAsia="PMingLiU" w:hAnsi="PMingLiU" w:cs="PMingLiU"/>
          <w:color w:val="3E3E3E"/>
          <w:spacing w:val="9"/>
          <w:sz w:val="21"/>
          <w:szCs w:val="21"/>
          <w:lang w:val="zh-CN" w:eastAsia="zh-CN"/>
        </w:rPr>
        <w:t>）中提取的解聚硫酸多糖（</w:t>
      </w:r>
      <w:r>
        <w:rPr>
          <w:rStyle w:val="any"/>
          <w:rFonts w:ascii="Times New Roman" w:eastAsia="Times New Roman" w:hAnsi="Times New Roman" w:cs="Times New Roman"/>
          <w:color w:val="3E3E3E"/>
          <w:spacing w:val="9"/>
          <w:sz w:val="21"/>
          <w:szCs w:val="21"/>
          <w:lang w:val="zh-CN" w:eastAsia="zh-CN"/>
        </w:rPr>
        <w:t>DESP</w:t>
      </w:r>
      <w:r>
        <w:rPr>
          <w:rStyle w:val="any"/>
          <w:rFonts w:ascii="PMingLiU" w:eastAsia="PMingLiU" w:hAnsi="PMingLiU" w:cs="PMingLiU"/>
          <w:color w:val="3E3E3E"/>
          <w:spacing w:val="9"/>
          <w:sz w:val="21"/>
          <w:szCs w:val="21"/>
          <w:lang w:val="zh-CN" w:eastAsia="zh-CN"/>
        </w:rPr>
        <w:t>）对细菌性腹泻的预防作用。基于肠毒素性大肠杆菌（</w:t>
      </w:r>
      <w:r>
        <w:rPr>
          <w:rStyle w:val="any"/>
          <w:rFonts w:ascii="Times New Roman" w:eastAsia="Times New Roman" w:hAnsi="Times New Roman" w:cs="Times New Roman"/>
          <w:color w:val="3E3E3E"/>
          <w:spacing w:val="9"/>
          <w:sz w:val="21"/>
          <w:szCs w:val="21"/>
          <w:lang w:val="zh-CN" w:eastAsia="zh-CN"/>
        </w:rPr>
        <w:t>ETEC</w:t>
      </w:r>
      <w:r>
        <w:rPr>
          <w:rStyle w:val="any"/>
          <w:rFonts w:ascii="PMingLiU" w:eastAsia="PMingLiU" w:hAnsi="PMingLiU" w:cs="PMingLiU"/>
          <w:color w:val="3E3E3E"/>
          <w:spacing w:val="9"/>
          <w:sz w:val="21"/>
          <w:szCs w:val="21"/>
          <w:lang w:val="zh-CN" w:eastAsia="zh-CN"/>
        </w:rPr>
        <w:t>）感染小鼠腹泻模型，</w:t>
      </w:r>
      <w:r>
        <w:rPr>
          <w:rStyle w:val="any"/>
          <w:rFonts w:ascii="Times New Roman" w:eastAsia="Times New Roman" w:hAnsi="Times New Roman" w:cs="Times New Roman"/>
          <w:color w:val="3E3E3E"/>
          <w:spacing w:val="9"/>
          <w:sz w:val="21"/>
          <w:szCs w:val="21"/>
          <w:lang w:val="zh-CN" w:eastAsia="zh-CN"/>
        </w:rPr>
        <w:t xml:space="preserve">DESP </w:t>
      </w:r>
      <w:r>
        <w:rPr>
          <w:rStyle w:val="any"/>
          <w:rFonts w:ascii="PMingLiU" w:eastAsia="PMingLiU" w:hAnsi="PMingLiU" w:cs="PMingLiU"/>
          <w:color w:val="3E3E3E"/>
          <w:spacing w:val="9"/>
          <w:sz w:val="21"/>
          <w:szCs w:val="21"/>
          <w:lang w:val="zh-CN" w:eastAsia="zh-CN"/>
        </w:rPr>
        <w:t>在</w:t>
      </w:r>
      <w:r>
        <w:rPr>
          <w:rStyle w:val="any"/>
          <w:rFonts w:ascii="Times New Roman" w:eastAsia="Times New Roman" w:hAnsi="Times New Roman" w:cs="Times New Roman"/>
          <w:color w:val="3E3E3E"/>
          <w:spacing w:val="9"/>
          <w:sz w:val="21"/>
          <w:szCs w:val="21"/>
          <w:lang w:val="zh-CN" w:eastAsia="zh-CN"/>
        </w:rPr>
        <w:t xml:space="preserve"> 50 mg/kg </w:t>
      </w:r>
      <w:r>
        <w:rPr>
          <w:rStyle w:val="any"/>
          <w:rFonts w:ascii="PMingLiU" w:eastAsia="PMingLiU" w:hAnsi="PMingLiU" w:cs="PMingLiU"/>
          <w:color w:val="3E3E3E"/>
          <w:spacing w:val="9"/>
          <w:sz w:val="21"/>
          <w:szCs w:val="21"/>
          <w:lang w:val="zh-CN" w:eastAsia="zh-CN"/>
        </w:rPr>
        <w:t>至</w:t>
      </w:r>
      <w:r>
        <w:rPr>
          <w:rStyle w:val="any"/>
          <w:rFonts w:ascii="Times New Roman" w:eastAsia="Times New Roman" w:hAnsi="Times New Roman" w:cs="Times New Roman"/>
          <w:color w:val="3E3E3E"/>
          <w:spacing w:val="9"/>
          <w:sz w:val="21"/>
          <w:szCs w:val="21"/>
          <w:lang w:val="zh-CN" w:eastAsia="zh-CN"/>
        </w:rPr>
        <w:t xml:space="preserve"> 200 mg/kg </w:t>
      </w:r>
      <w:r>
        <w:rPr>
          <w:rStyle w:val="any"/>
          <w:rFonts w:ascii="PMingLiU" w:eastAsia="PMingLiU" w:hAnsi="PMingLiU" w:cs="PMingLiU"/>
          <w:color w:val="3E3E3E"/>
          <w:spacing w:val="9"/>
          <w:sz w:val="21"/>
          <w:szCs w:val="21"/>
          <w:lang w:val="zh-CN" w:eastAsia="zh-CN"/>
        </w:rPr>
        <w:t>的剂量范围内减轻了体重减轻，降低了腹泻率和腹泻指数。血清学检测显示，炎症相关因子的水平得到了有效抑制。此外，通过形态学和病理组织切片观察验证了修复的肠道黏膜。与模型组相比，根据肠道微生物群</w:t>
      </w:r>
      <w:r>
        <w:rPr>
          <w:rStyle w:val="any"/>
          <w:rFonts w:ascii="Times New Roman" w:eastAsia="Times New Roman" w:hAnsi="Times New Roman" w:cs="Times New Roman"/>
          <w:color w:val="3E3E3E"/>
          <w:spacing w:val="9"/>
          <w:sz w:val="21"/>
          <w:szCs w:val="21"/>
          <w:lang w:val="zh-CN" w:eastAsia="zh-CN"/>
        </w:rPr>
        <w:t xml:space="preserve"> 16S rRNA </w:t>
      </w:r>
      <w:r>
        <w:rPr>
          <w:rStyle w:val="any"/>
          <w:rFonts w:ascii="PMingLiU" w:eastAsia="PMingLiU" w:hAnsi="PMingLiU" w:cs="PMingLiU"/>
          <w:color w:val="3E3E3E"/>
          <w:spacing w:val="9"/>
          <w:sz w:val="21"/>
          <w:szCs w:val="21"/>
          <w:lang w:val="zh-CN" w:eastAsia="zh-CN"/>
        </w:rPr>
        <w:t>高通量测序，</w:t>
      </w:r>
      <w:r>
        <w:rPr>
          <w:rStyle w:val="any"/>
          <w:rFonts w:ascii="Times New Roman" w:eastAsia="Times New Roman" w:hAnsi="Times New Roman" w:cs="Times New Roman"/>
          <w:color w:val="3E3E3E"/>
          <w:spacing w:val="9"/>
          <w:sz w:val="21"/>
          <w:szCs w:val="21"/>
          <w:lang w:val="zh-CN" w:eastAsia="zh-CN"/>
        </w:rPr>
        <w:t xml:space="preserve">DESP </w:t>
      </w:r>
      <w:r>
        <w:rPr>
          <w:rStyle w:val="any"/>
          <w:rFonts w:ascii="PMingLiU" w:eastAsia="PMingLiU" w:hAnsi="PMingLiU" w:cs="PMingLiU"/>
          <w:color w:val="3E3E3E"/>
          <w:spacing w:val="9"/>
          <w:sz w:val="21"/>
          <w:szCs w:val="21"/>
          <w:lang w:val="zh-CN" w:eastAsia="zh-CN"/>
        </w:rPr>
        <w:t>组的肠道菌群丰富度和多样性增加。具体来说，厚壁菌门和放线菌门增加，而变形菌门减少。在科水平上，</w:t>
      </w:r>
      <w:r>
        <w:rPr>
          <w:rStyle w:val="any"/>
          <w:rFonts w:ascii="Times New Roman" w:eastAsia="Times New Roman" w:hAnsi="Times New Roman" w:cs="Times New Roman"/>
          <w:color w:val="3E3E3E"/>
          <w:spacing w:val="9"/>
          <w:sz w:val="21"/>
          <w:szCs w:val="21"/>
          <w:lang w:val="zh-CN" w:eastAsia="zh-CN"/>
        </w:rPr>
        <w:t xml:space="preserve">DESP </w:t>
      </w:r>
      <w:r>
        <w:rPr>
          <w:rStyle w:val="any"/>
          <w:rFonts w:ascii="PMingLiU" w:eastAsia="PMingLiU" w:hAnsi="PMingLiU" w:cs="PMingLiU"/>
          <w:color w:val="3E3E3E"/>
          <w:spacing w:val="9"/>
          <w:sz w:val="21"/>
          <w:szCs w:val="21"/>
          <w:lang w:val="zh-CN" w:eastAsia="zh-CN"/>
        </w:rPr>
        <w:t>有效提高了乳杆菌科、双歧杆菌科和链球菌科的丰度，同时显著抑制了肠杆菌科的生长。</w:t>
      </w:r>
      <w:r>
        <w:rPr>
          <w:rStyle w:val="any"/>
          <w:rFonts w:ascii="Times New Roman" w:eastAsia="Times New Roman" w:hAnsi="Times New Roman" w:cs="Times New Roman"/>
          <w:color w:val="3E3E3E"/>
          <w:spacing w:val="9"/>
          <w:sz w:val="21"/>
          <w:szCs w:val="21"/>
          <w:lang w:val="zh-CN" w:eastAsia="zh-CN"/>
        </w:rPr>
        <w:t xml:space="preserve"> </w:t>
      </w:r>
      <w:r>
        <w:rPr>
          <w:rStyle w:val="any"/>
          <w:rFonts w:ascii="PMingLiU" w:eastAsia="PMingLiU" w:hAnsi="PMingLiU" w:cs="PMingLiU"/>
          <w:color w:val="3E3E3E"/>
          <w:spacing w:val="9"/>
          <w:sz w:val="21"/>
          <w:szCs w:val="21"/>
          <w:lang w:val="zh-CN" w:eastAsia="zh-CN"/>
        </w:rPr>
        <w:t>因此，</w:t>
      </w:r>
      <w:r>
        <w:rPr>
          <w:rStyle w:val="any"/>
          <w:rFonts w:ascii="Times New Roman" w:eastAsia="Times New Roman" w:hAnsi="Times New Roman" w:cs="Times New Roman"/>
          <w:color w:val="3E3E3E"/>
          <w:spacing w:val="9"/>
          <w:sz w:val="21"/>
          <w:szCs w:val="21"/>
          <w:lang w:val="zh-CN" w:eastAsia="zh-CN"/>
        </w:rPr>
        <w:t xml:space="preserve">DESP </w:t>
      </w:r>
      <w:r>
        <w:rPr>
          <w:rStyle w:val="any"/>
          <w:rFonts w:ascii="PMingLiU" w:eastAsia="PMingLiU" w:hAnsi="PMingLiU" w:cs="PMingLiU"/>
          <w:color w:val="3E3E3E"/>
          <w:spacing w:val="9"/>
          <w:sz w:val="21"/>
          <w:szCs w:val="21"/>
          <w:lang w:val="zh-CN" w:eastAsia="zh-CN"/>
        </w:rPr>
        <w:t>的抗微生物腹泻功能可能与肠道微生物群的调节有关。</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rPr>
        <w:t>具体说明</w:t>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7049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01857" name=""/>
                    <pic:cNvPicPr>
                      <a:picLocks noChangeAspect="1"/>
                    </pic:cNvPicPr>
                  </pic:nvPicPr>
                  <pic:blipFill>
                    <a:blip xmlns:r="http://schemas.openxmlformats.org/officeDocument/2006/relationships" r:embed="rId7"/>
                    <a:stretch>
                      <a:fillRect/>
                    </a:stretch>
                  </pic:blipFill>
                  <pic:spPr>
                    <a:xfrm>
                      <a:off x="0" y="0"/>
                      <a:ext cx="5486400" cy="6704933"/>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4804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039" name=""/>
                    <pic:cNvPicPr>
                      <a:picLocks noChangeAspect="1"/>
                    </pic:cNvPicPr>
                  </pic:nvPicPr>
                  <pic:blipFill>
                    <a:blip xmlns:r="http://schemas.openxmlformats.org/officeDocument/2006/relationships" r:embed="rId8"/>
                    <a:stretch>
                      <a:fillRect/>
                    </a:stretch>
                  </pic:blipFill>
                  <pic:spPr>
                    <a:xfrm>
                      <a:off x="0" y="0"/>
                      <a:ext cx="5486400" cy="5480410"/>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803311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01004" name=""/>
                    <pic:cNvPicPr>
                      <a:picLocks noChangeAspect="1"/>
                    </pic:cNvPicPr>
                  </pic:nvPicPr>
                  <pic:blipFill>
                    <a:blip xmlns:r="http://schemas.openxmlformats.org/officeDocument/2006/relationships" r:embed="rId9"/>
                    <a:stretch>
                      <a:fillRect/>
                    </a:stretch>
                  </pic:blipFill>
                  <pic:spPr>
                    <a:xfrm>
                      <a:off x="0" y="0"/>
                      <a:ext cx="5486400" cy="8033117"/>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301902"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22381" name=""/>
                    <pic:cNvPicPr>
                      <a:picLocks noChangeAspect="1"/>
                    </pic:cNvPicPr>
                  </pic:nvPicPr>
                  <pic:blipFill>
                    <a:blip xmlns:r="http://schemas.openxmlformats.org/officeDocument/2006/relationships" r:embed="rId10"/>
                    <a:stretch>
                      <a:fillRect/>
                    </a:stretch>
                  </pic:blipFill>
                  <pic:spPr>
                    <a:xfrm>
                      <a:off x="0" y="0"/>
                      <a:ext cx="530190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rPr>
        <w:t>参考信息</w:t>
      </w:r>
      <w:r>
        <w:rPr>
          <w:rStyle w:val="any"/>
          <w:rFonts w:ascii="Times New Roman" w:eastAsia="Times New Roman" w:hAnsi="Times New Roman" w:cs="Times New Roman"/>
          <w:b/>
          <w:bCs/>
          <w:color w:val="3E3E3E"/>
          <w:spacing w:val="9"/>
          <w:sz w:val="21"/>
          <w:szCs w:val="21"/>
        </w:rPr>
        <w:br/>
      </w:r>
      <w:r>
        <w:rPr>
          <w:rStyle w:val="any"/>
          <w:rFonts w:ascii="Times New Roman" w:eastAsia="Times New Roman" w:hAnsi="Times New Roman" w:cs="Times New Roman"/>
          <w:b/>
          <w:bCs/>
          <w:color w:val="3E3E3E"/>
          <w:spacing w:val="9"/>
          <w:sz w:val="18"/>
          <w:szCs w:val="18"/>
        </w:rPr>
        <w:t>https://www.mdpi.com/1660-3397/19/2/80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rPr>
        <w:t>https://pubpeer.com/publications/1C981C211385DDE68FD07DAD09F431</w:t>
      </w:r>
      <w:r>
        <w:rPr>
          <w:rStyle w:val="a"/>
          <w:rFonts w:ascii="Times New Roman" w:eastAsia="Times New Roman" w:hAnsi="Times New Roman" w:cs="Times New Roman"/>
          <w:b/>
          <w:bCs/>
          <w:spacing w:val="9"/>
          <w:sz w:val="18"/>
          <w:szCs w:val="18"/>
        </w:rPr>
        <w:t>#0</w:t>
      </w:r>
    </w:p>
    <w:p>
      <w:pPr>
        <w:pStyle w:val="anyParagraph"/>
        <w:numPr>
          <w:ilvl w:val="0"/>
          <w:numId w:val="1"/>
        </w:numPr>
        <w:shd w:val="clear" w:color="auto" w:fill="FFFFFF"/>
        <w:spacing w:before="150" w:after="0" w:line="390" w:lineRule="atLeast"/>
        <w:ind w:left="840" w:right="46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840" w:right="46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122&amp;idx=1&amp;sn=ba34541d57de4e81c786b05b0c04ca2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