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论文因排版、文献、化合物错误撤稿，后续竟这样操作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43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30 日，《RSC Adv》（影响因子 3.9，Q2）发表了一篇撤稿声明。该声明涉及 2023 年由印度阿里格尔穆斯林大学化学系的 Abdur Rehman Sheikh、Anam Arif 和 Md Musawwer Khan 等人发表在《RSC Adv》上的文章 “Aryl glyoxal: a prime synthetic equivalent for multicomponent reactions in the designing of oxygen heterocycles”（原文链接：https://doi.org/10.1039/D2RA08315A 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1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26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原因是文章存在大量排版错误、参考文献错误以及化合物命名和结构错误，致使当前版本记录不准确。英国皇家化学会（RSC）咨询独立专家后认为，对论文进行修正需作出重大改动，最佳举措是撤稿并重新发表以纠正所有错误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547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12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不过，RSC 认为文章整体结论未受这些错误影响，重新发表含正确信息的文章是恰当的。重新发表的文章已经过同行评审，可在 [https://doi.org/10.1039/D5RA01953B] 查看。通讯作者对这一疏忽表示遗憾，并向读者致歉，声明日期为 2025 年 3 月 24 日，由《RSC Adv》执行编辑 Laura Fisher 认可。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1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3&amp;sn=448e154f8fa161940f245f375fb73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