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哈尔滨医科大学附属第四医院的文章被撤回，主要原因是不同文章间涉嫌图像的重复使用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2025-05-05 15:21:55</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30193"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上皮-间质转化（EMT）被认为是宫颈癌细胞耐药的重要因素，但其潜在机制尚不清楚。microRNA在调控EMT中起着至关重要的作用。</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2016 年 12 月 1 日，哈尔滨医科大学附属第四医院的Song Jing  等人在</w:t>
      </w:r>
      <w:r>
        <w:rPr>
          <w:rStyle w:val="any"/>
          <w:rFonts w:ascii="Microsoft YaHei UI" w:eastAsia="Microsoft YaHei UI" w:hAnsi="Microsoft YaHei UI" w:cs="Microsoft YaHei UI"/>
          <w:b/>
          <w:bCs/>
          <w:i/>
          <w:iCs/>
          <w:color w:val="222222"/>
          <w:spacing w:val="8"/>
          <w:sz w:val="23"/>
          <w:szCs w:val="23"/>
        </w:rPr>
        <w:t>Cancer science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miR-25-3p Reverses Epithelial-Mesenchymal Transition via Targeting Sema4C in Cisplatin-Resistance Cervical Cancer Cells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miR-25-3p是宫颈癌EMT和化疗耐药的重要调控因子。因此，上调miR-25-3p可能成为治疗化疗耐药宫颈癌的一种新方法。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30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782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29829" name=""/>
                    <pic:cNvPicPr>
                      <a:picLocks noChangeAspect="1"/>
                    </pic:cNvPicPr>
                  </pic:nvPicPr>
                  <pic:blipFill>
                    <a:blip xmlns:r="http://schemas.openxmlformats.org/officeDocument/2006/relationships" r:embed="rId8"/>
                    <a:stretch>
                      <a:fillRect/>
                    </a:stretch>
                  </pic:blipFill>
                  <pic:spPr>
                    <a:xfrm>
                      <a:off x="0" y="0"/>
                      <a:ext cx="5486400" cy="3897824"/>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2016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12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日在线发表于威利在线图书馆</w:t>
      </w:r>
      <w:r>
        <w:rPr>
          <w:rStyle w:val="any"/>
          <w:rFonts w:ascii="Times New Roman" w:eastAsia="Times New Roman" w:hAnsi="Times New Roman" w:cs="Times New Roman"/>
          <w:spacing w:val="8"/>
          <w:sz w:val="23"/>
          <w:szCs w:val="23"/>
        </w:rPr>
        <w:t xml:space="preserve"> (wileyonlinelibrary.com)</w:t>
      </w:r>
      <w:r>
        <w:rPr>
          <w:rStyle w:val="any"/>
          <w:rFonts w:ascii="PMingLiU" w:eastAsia="PMingLiU" w:hAnsi="PMingLiU" w:cs="PMingLiU"/>
          <w:spacing w:val="8"/>
          <w:sz w:val="23"/>
          <w:szCs w:val="23"/>
        </w:rPr>
        <w:t>，经期刊主编</w:t>
      </w:r>
      <w:r>
        <w:rPr>
          <w:rStyle w:val="any"/>
          <w:rFonts w:ascii="Times New Roman" w:eastAsia="Times New Roman" w:hAnsi="Times New Roman" w:cs="Times New Roman"/>
          <w:spacing w:val="8"/>
          <w:sz w:val="23"/>
          <w:szCs w:val="23"/>
        </w:rPr>
        <w:t xml:space="preserve"> Masanori Hatakeyama</w:t>
      </w:r>
      <w:r>
        <w:rPr>
          <w:rStyle w:val="any"/>
          <w:rFonts w:ascii="PMingLiU" w:eastAsia="PMingLiU" w:hAnsi="PMingLiU" w:cs="PMingLiU"/>
          <w:spacing w:val="8"/>
          <w:sz w:val="23"/>
          <w:szCs w:val="23"/>
        </w:rPr>
        <w:t>、日本癌症协会和</w:t>
      </w:r>
      <w:r>
        <w:rPr>
          <w:rStyle w:val="any"/>
          <w:rFonts w:ascii="Times New Roman" w:eastAsia="Times New Roman" w:hAnsi="Times New Roman" w:cs="Times New Roman"/>
          <w:spacing w:val="8"/>
          <w:sz w:val="23"/>
          <w:szCs w:val="23"/>
        </w:rPr>
        <w:t xml:space="preserve"> John Wiley &amp; Sons Australia Ltd. </w:t>
      </w:r>
      <w:r>
        <w:rPr>
          <w:rStyle w:val="any"/>
          <w:rFonts w:ascii="PMingLiU" w:eastAsia="PMingLiU" w:hAnsi="PMingLiU" w:cs="PMingLiU"/>
          <w:spacing w:val="8"/>
          <w:sz w:val="23"/>
          <w:szCs w:val="23"/>
        </w:rPr>
        <w:t>同意，现已撤回。此次撤回是在对第三方提出的问题进行调查后达成的。</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调查显示，本文与之前或同一年由不同作者组在不同科学背景下发表的几篇文章之间存在图板不恰当的重复（图</w:t>
      </w:r>
      <w:r>
        <w:rPr>
          <w:rStyle w:val="any"/>
          <w:rFonts w:ascii="Times New Roman" w:eastAsia="Times New Roman" w:hAnsi="Times New Roman" w:cs="Times New Roman"/>
          <w:spacing w:val="8"/>
          <w:sz w:val="23"/>
          <w:szCs w:val="23"/>
        </w:rPr>
        <w:t xml:space="preserve"> 1b</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2a</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b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3c</w:t>
      </w:r>
      <w:r>
        <w:rPr>
          <w:rStyle w:val="any"/>
          <w:rFonts w:ascii="PMingLiU" w:eastAsia="PMingLiU" w:hAnsi="PMingLiU" w:cs="PMingLiU"/>
          <w:spacing w:val="8"/>
          <w:sz w:val="23"/>
          <w:szCs w:val="23"/>
        </w:rPr>
        <w:t>）。鉴于已发现问题的严重性，编辑们对所提供的数据失去了信心，文章的结论不再被认为是可靠的。作者及其所在机构已被告知这些问题和撤回决定，但他们仍未作出回应。</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https://onlinelibrary.wiley.com/doi/10.1111/cas.70083</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985591"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311509"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4350&amp;idx=1&amp;sn=0df86d1b96529a31da76914e6e6ee4fc"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