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关注！第四军医大学一研究被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11:16:22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037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https://pubpeer.com/publications/F0729F0F992F36C013D6920579D1BD#0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The Journal of clinical investigation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Glucose- and glutamine-dependent bioenergetics sensitize bone mechanoresponse after unloading by modulating osteocyte calcium dynamics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葡萄糖和谷氨酰胺依赖的生物能代谢通过调节骨细胞钙动态，增强卸载后骨的机械应答敏感性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Xiyu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第四军医大学生物医学工程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Da Jing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第四军医大学生物医学工程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146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827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2800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320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2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https://pubpeer.com/publications/F0729F0F992F36C013D6920579D1BD#0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57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46&amp;idx=1&amp;sn=d809e987ad4195839d7ddf964b2147d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