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该文章中数据和报告结果的完整性被质疑！烟台市毓璜顶医院论文遭撤稿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CircSLC7A6 promotes the progression of Wilms’ tumor via microRNA-107/ ABL proto-oncogene 2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CircSLC7A6通过microRNA-107/ABL原癌基因2轴促进Wilms肿瘤进展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10.1080/21655979.2021.2001204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许多序列似乎不正确，呈现的流式细胞术数据具有不寻常的模式等问题。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烟台市毓璜顶医院儿科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的作者Jiaju Xu , Ying Hao , Xingjuan Gao , Yanqiu Wu , Yanjie Ding , Baohong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通讯作者: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Baohong Wang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(烟台市毓璜顶医院儿科）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2468" cy="35115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02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35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3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2022年2月Indigofera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我对表 1 中列出的许多 RT qPCR 引物表示质疑。当使用 NCBI blastn 人类 G+T/标准数据库时，许多序列似乎不正确。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此外，几幅图中以点图形式呈现的流式细胞术数据具有不寻常的模式。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4598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4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45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16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2023年11月Indigofera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图1、4和6中，细胞凋亡的测量方法存在错误，导致了错误的结论。作者将死亡（坏死）的细胞测量为凋亡。请参阅BioRad关于如何正确测量细胞凋亡的信息。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此外，作者错误地使用了“细胞活力”这个表述。我猜他们指的是细胞增殖？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这项研究竟然没有得到任何资助，这也很蹊跷。这很不寻常，但在那些“论文工厂”的论文里却很常见。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780935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6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780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18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2024年6月Aphilanthops foxi 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这是一组文章中的一篇，其中错误地指出 miRNA 结果已标准化为使用引物通过 qPCR 测量的 U6 snRNA 水平：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F GCAGGAGGTCTTCACAGAGT R TCTAGAGGAGAAGCTGGGGT 然而，这些引物并不能识别U6。相反，它们与修饰U6的蛋白质的信使RNA相关，具体来说，是末端尿苷酸转移酶1，U6 snRNA特异性(TUT1) mRNA。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使用相同错误识别引物的论文包括：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897" cy="410279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38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41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99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撤回，2025 年 4 月 23 日：https://doi.org/10.1080/21655979.2025.2491941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Xu, J., Hao, Y., Gao, X., Wu, Y., Ding, Y., &amp; Wang, B. (2022). CircSLC7A6 通过 microRNA-107/ ABL 原癌基因 2 轴促进肾母细胞瘤进展。《生物工程》，13(1)，308–318。https ://doi.org/10.1080/21655979.2021.2001204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8658" cy="3815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3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8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24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https://pubpeer.com/publications/982457D1DB75D79CA0A3BC38DF60DA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47&amp;idx=3&amp;sn=33fd04574e13ef4209432d3e3c275b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