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图像数据重复！中国医科大学附属盛京医院论文遭撤稿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10:35:09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BioMed Research International (2020)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The Regulation of circRNA RNF13/miRNA-1224-5p Axis Promotes the Malignant Evolution in Acute Myeloid Leukemia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circRNA RNF13/miRNA-1224-5p轴调控促进急性髓系白血病恶性演变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6"/>
          <w:szCs w:val="26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doi: 10.1155/2020/5654380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6"/>
          <w:szCs w:val="26"/>
        </w:rPr>
        <w:t>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的研究论文被知名学者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Hoya camphorifolia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图像重复。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该论文由来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6"/>
          <w:szCs w:val="26"/>
        </w:rPr>
        <w:t>自中国医科大学附属盛京医院血液科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kern w:val="36"/>
          <w:sz w:val="26"/>
          <w:szCs w:val="26"/>
          <w:shd w:val="clear" w:color="auto" w:fill="FFFFFF"/>
        </w:rPr>
        <w:t>的作者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Rong Zhang , Yingchun Li , Hongtao Wang , Ke Zhu , Guojun Zhang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6"/>
          <w:szCs w:val="26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aps w:val="0"/>
          <w:smallCaps w:val="0"/>
          <w:color w:val="000000"/>
          <w:spacing w:val="8"/>
          <w:kern w:val="36"/>
          <w:sz w:val="26"/>
          <w:szCs w:val="26"/>
        </w:rPr>
        <w:t>通讯作者：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Guojun Zhang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6"/>
          <w:szCs w:val="26"/>
          <w:shd w:val="clear" w:color="auto" w:fill="FFFFFF"/>
        </w:rPr>
        <w:t>(中国医科大学附属盛京医院血液科)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1230" cy="31471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03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230" cy="314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308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2023年4月Hoya camphorifolia在pubpeer上提出质疑：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图 1e.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3135" cy="2181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65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13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31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hd w:val="clear" w:color="auto" w:fill="FFFFFF"/>
        </w:rPr>
        <w:t>与“长链非编码 RNA TUSC7 通过靶向 miR-211 抑制骨肉瘤”（ Cong &amp; Jing 2019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 ）中的图 3C 共享一个面板。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69325" cy="179584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139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325" cy="1795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36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sz w:val="26"/>
          <w:szCs w:val="26"/>
        </w:rPr>
        <w:t>2025年5月Hoya camphorifolia在pubpeer上发表：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u w:val="single" w:color="0D0D0D"/>
        </w:rPr>
        <w:t>2025 年 4 月 29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上述文章于 2020 年 10 月 6 日在 Wiley Online Library (wileyonlinelibrary.com) 在线发表，经期刊部门编辑 Gerald Brandacher 和 John Wiley &amp; Sons Ltd. 同意，现已撤回。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在对 Hoya camphorifolia 在 PubPeer [1] 上提出的问题进行调查后，研究人员同意撤回该文章，并发现了其中一处图片重复的情况。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具体来说：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Symbol" w:eastAsia="Symbol" w:hAnsi="Symbol" w:cs="Symbol"/>
          <w:b w:val="0"/>
          <w:bCs w:val="0"/>
          <w:caps w:val="0"/>
          <w:smallCaps w:val="0"/>
          <w:color w:val="0D0D0D"/>
          <w:spacing w:val="8"/>
          <w:sz w:val="26"/>
          <w:szCs w:val="26"/>
        </w:rPr>
        <w:t>·</w:t>
      </w:r>
      <w:r>
        <w:rPr>
          <w:rStyle w:val="any"/>
          <w:rFonts w:ascii="Times New Roman" w:eastAsia="Times New Roman" w:hAnsi="Times New Roman" w:cs="Times New Roman"/>
          <w:b w:val="0"/>
          <w:bCs w:val="0"/>
          <w:caps w:val="0"/>
          <w:smallCaps w:val="0"/>
          <w:color w:val="0D0D0D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  <w:shd w:val="clear" w:color="auto" w:fill="FFFFFF"/>
        </w:rPr>
        <w:t>图 1e：HL60 细胞集落中 shRNA-1 表达的图像与 [2] 图 3c 所示的 MG63 细胞的 TUSC7 模拟集落相同。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经调查，该文的数据和结论被认为不可靠。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D0D0D"/>
          <w:spacing w:val="0"/>
          <w:sz w:val="26"/>
          <w:szCs w:val="26"/>
        </w:rPr>
        <w:t>作者已被告知撤回文章的决定，但尚未做出回应。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5270564" cy="42215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41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64" cy="422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sz w:val="26"/>
          <w:szCs w:val="26"/>
          <w:u w:val="none"/>
        </w:rPr>
        <w:drawing>
          <wp:inline>
            <wp:extent cx="304843" cy="304843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995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https://pmc.ncbi.nlm.nih.gov/articles/PMC7557902/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https://pubpeer.com/publications/F48F1E7CDEB77D90BA0F06F4B6F2AD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  <w:sz w:val="26"/>
          <w:szCs w:val="26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89&amp;idx=3&amp;sn=0ec913eb4acd7e61d4d39940547d21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