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中山大学附属第一医院研究被曝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处图片重复使用，实验结论可靠性遭读者灵魂拷问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05:30:32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中山大学附属第一医院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IF1.4999/4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0238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36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suppressing effects of VEGF-mediated angiogenesis at different administration sequences of apatinib and transarterial embolization in vivo”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体内不同给药顺序阿帕替尼和经动脉栓塞对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介导的血管生成的抑制作用）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 Li, Yong-Hui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研究不同治疗方案下阿帕替尼联合经动脉栓塞（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）对血管内皮生长因子（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）介导的血管生成的抑制作用。研究结果表明，阿帕替尼治疗通过减少肿瘤血管生成、抑制肿瘤生长、延长肝肿瘤大鼠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来增强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的抗肿瘤作用。早期给予阿帕替尼治疗效果较好。（本段内容为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764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29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99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这三张大图中的小图之间都存在重叠之处。（见同色方框标记）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35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4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49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https://pubpeer.com/publications/B0CCA559F1BE717CC27D6AD026343B/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https://tcr.amegroups.org/article/view/36338/html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9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85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52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9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78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8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96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64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5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2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2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3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2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8&amp;idx=1&amp;sn=38c693f6906b34f9060ffaaacca000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