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14917"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7891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7602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2853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16378"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