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惊爆！中科大第一附属医院顶级研究论文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Clin Invest.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用错抗体，非酒精性脂肪肝研究可靠性遭质疑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20:17:41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近日，一项发表于《The Journal of clinical investigation》（2024 年）的研究引发关注，该研究由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中国科学技术大学第一附属医院内分泌与代谢病研究所内分泌科，中国科学技术大学生命科学与医学部，中国科学院临床研究医院（合肥）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 S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uowen Xu、Xiumei Wu 等众多研究人员共同完成。研究主要聚焦于 TRIM56 在非酒精性脂肪肝疾病中的作用，成果显示 TRIM56 可通过促进脂肪酸合酶的降解来抵御非酒精性脂肪肝疾病，这一发现为相关疾病的治疗和研究提供了新的方向。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在研究过程中，研究人员主要使用了 Abcam 公司的抗体（Cat# ab154862）进行蛋白质检测。这款抗体是兔重组单克隆 TRIM56 抗体，适用于免疫组化 - 石蜡切片（IHC - P）、蛋白质免疫印迹（WB）、免疫细胞化学 / 免疫荧光（ICC/IF）、细胞内流式细胞术（Flow Cyt (Intra) ）等实验，且能与人类样本反应。然而，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产品信息显示，初步内部测试数据表明该抗体可能与小鼠、大鼠样本无反应，若有相关疑问需联系公司获取更多信息。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但在此次研究里，研究人员却使用该抗体以 1:1000 的稀释度来检测小鼠的 Trim56，而这一稀释度超出了检测人类 TRIM56 的推荐浓度，引发了外界对研究可靠性的担忧。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14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这一情况已经引起了科研领域的广泛讨论。对于科研工作而言，实验材料的选择和使用是否恰当，直接关系到研究结果的准确性和可靠性。此次事件也提醒广大科研人员，在实验设计和操作过程中，务必严格遵循实验材料的使用规范，确保研究的科学性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https://pubmed.ncbi.nlm.nih.gov/38206764/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83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06&amp;idx=1&amp;sn=72f2043a4bd4300dc9d41105f6b976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