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7331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21879"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10508"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92090"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90978"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5288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