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沈阳市第四人民医院的文章被撤回，主要原因是不同文章间涉嫌图像的重复使用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15:21:55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62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是发病率第三高的癌症类型，死亡率高，五年生存率低。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11 月 2 日，沈阳市第四人民医院的Yan Ji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Copanlisib promotes growth inhibition and apoptosis by modulating the AKT/FoxO3a/PUMA axis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PUMA介导的细胞凋亡对copanlisib的抗癌作用至关重要，并且调控PUMA可能有助于增强其抗癌活性。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05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主编因对本文中所呈现图表的担忧而撤回了这篇文章。这些担忧使本文的整体科学性受到质疑。文章发表后进行的调查发现了以下问题：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“Lestaurtinib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WT”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未处理，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PUMA-KO”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这些存在问题的图块代表了在不同实验条件下采集的动物组织。因此，主编不再对本文所呈现研究的完整性充满信心。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1.Cao Y, Kong S, Xin Y, Meng Y, Shang S, Qi Y. Lestaurtinib potentiates TRAIL-induced apoptosis in glioma via CHOP-dependent DR5 induction. J Cell Mol Med. 2020;24:7829–40. https://doi.org/10.1111/jcmm.15415.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2.Tan X, Zhang Z, Liu P, Yao H, Shen L, Tong JS. RETRACTED ARTICLE: Inhibition of EZH2 enhances the therapeutic effect of 5-FU via PUMA upregulation in colorectal cancer. Cell Death Dis. 2020;11:1061. https://doi.org/10.1038/s41419-020-03266-3.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https://www.nature.com/articles/s41419-025-07679-w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1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14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50&amp;idx=2&amp;sn=89f561856152f0019dca5e3b4f908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