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华东师范大学卢伟强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黄瑾发表的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16:43:16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2024年6月3日，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华东师范大学卢伟强及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黄瑾共同通讯在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9"/>
          <w:sz w:val="23"/>
          <w:szCs w:val="23"/>
        </w:rPr>
        <w:t>Nature Communications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PPIA dictates NRF2 stability to promote lung cancer progression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文章内存在1对重复图片使用。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74473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56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7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90800" cy="109537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38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对所有图片（非蛋白印迹）进行检测，iFigures发现文章内1对图片出现重复：图6C-2与6C-4的一只小鼠是一样的（除了荧光不一样），但是代表明显不一样的图片。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915025" cy="627697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3035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诚信科研将6C-2-3及6C-4-3放大，发现这2只小鼠是一样，除了荧光不一样。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686300" cy="4810125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645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[1]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2025年2月4日，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华东师范大学卢伟强及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刘明耀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共同通讯在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9"/>
          <w:sz w:val="23"/>
          <w:szCs w:val="23"/>
        </w:rPr>
        <w:t>Nature Immunology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（IF=27.8）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The lactate receptor HCAR1 drives the recruitment of immunosuppressive PMN-MDSCs in colorectal cancer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文章内存在1对不合理的重复图片。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该文章已于2025年3月10日更正。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color w:val="000000"/>
          <w:spacing w:val="9"/>
          <w:sz w:val="23"/>
          <w:szCs w:val="23"/>
          <w:u w:val="none"/>
        </w:rPr>
        <w:drawing>
          <wp:inline>
            <wp:extent cx="6143625" cy="5620279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16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62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28875" cy="144780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58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对所有图片（非蛋白印迹）进行检测，iFigures发现文章内1对图片出现重复：图E10-2与E10C-2是一样的图片，但是流式标的的数字明显不同。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3494670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298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4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926&amp;idx=1&amp;sn=4d8e05425aaf086a7c04d675cef82fd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