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关注！第四军医大学一研究被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11:16:22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177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https://pubpeer.com/publications/F0729F0F992F36C013D6920579D1BD#0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Glucose- and glutamine-dependent bioenergetics sensitize bone mechanoresponse after unloading by modulating osteocyte calcium dynamics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葡萄糖和谷氨酰胺依赖的生物能代谢通过调节骨细胞钙动态，增强卸载后骨的机械应答敏感性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Xiyu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第四军医大学生物医学工程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Da Jing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第四军医大学生物医学工程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46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892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280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364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2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https://pubpeer.com/publications/F0729F0F992F36C013D6920579D1BD#0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56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46&amp;idx=1&amp;sn=d809e987ad4195839d7ddf964b2147d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