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02838"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15649"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42573"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30870"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