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复用早期发表的论文图像数据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苏州大学苏州医学院与赣南医学院合作论文被质疑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Cancers (2023)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TRIM10 Is Downregulated in Acute Myeloid Leukemia and Plays a Tumor Suppressive Role via Regulating NF-κB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TRIM10在急性髓系白血病中下调并通过调节NF-κB通路发挥抑癌作用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10.3390/cancers15020417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 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与其他论文存在印迹图相同。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苏州大学苏州医学院；赣南医学院第一附属医院血液科；楚雄医药高等专科学校基础医学系；赣南医学院第一附属医院急诊科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的作者Lin Li , Qi Li , Zhengrong Zou , Zoufang Huang , Yijian Chen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通讯作者：Yijian Chen（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苏州大学苏州医学院，赣南医学院第一附属医院血液科）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3135" cy="51054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79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5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71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1C：Western 免疫印迹图取自先前发表的论文（Yi, L et al., 2022; Cell Death Dis）。相同的数据解释不同。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3E：两张流式细胞术点图取自先前发表的论文（Yi, L et al., 2022; Cell Death Dis.）。相同的数据有不同的解释。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本次分析中使用了 ImageTwin。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50565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62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05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32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本研究得到了赣南医学院博士生启动基金（QD805）；赣南医学院横向课题基金（2021002）；教育部重点实验室基金（XN202003）的资助。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1748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24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17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631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https://pmc.ncbi.nlm.nih.gov/articles/PMC9856727/#ack1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https://pubpeer.com/publications/6032AE67516A8B315F8BF122A159E7#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6&amp;sn=8888f42d792fd1a8dba2d75a9bc8d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