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中山大学附属第一医院研究被曝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处图片重复使用，实验结论可靠性遭读者灵魂拷问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2025-05-04 05:30:32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07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中山大学附属第一医院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Translational Cancer Research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IF1.4999/4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70238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34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11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“The suppressing effects of VEGF-mediated angiogenesis at different administration sequences of apatinib and transarterial embolization in vivo”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体内不同给药顺序阿帕替尼和经动脉栓塞对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介导的血管生成的抑制作用）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第一作者：中山大学附属第一医院的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通讯作者：中山大学附属第一医院的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Nan Li, Yong-Hui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研究不同治疗方案下阿帕替尼联合经动脉栓塞（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TAE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）对血管内皮生长因子（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）介导的血管生成的抑制作用。研究结果表明，阿帕替尼治疗通过减少肿瘤血管生成、抑制肿瘤生长、延长肝肿瘤大鼠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来增强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TAE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的抗肿瘤作用。早期给予阿帕替尼治疗效果较好。（本段内容为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7648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32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12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这三张大图中的小图之间都存在重叠之处。（见同色方框标记）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356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97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94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https://pubpeer.com/publications/B0CCA559F1BE717CC27D6AD026343B/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https://tcr.amegroups.org/article/view/36338/html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919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54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69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151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67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20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77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04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73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58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6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84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50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24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37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548&amp;idx=1&amp;sn=38c693f6906b34f9060ffaaacca000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