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17484"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13736"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69930"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597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74873"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39801"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25147"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