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四川大学华西</w:t>
        </w:r>
        <w:r>
          <w:rPr>
            <w:rStyle w:val="a"/>
            <w:rFonts w:ascii="Times New Roman" w:eastAsia="Times New Roman" w:hAnsi="Times New Roman" w:cs="Times New Roman"/>
            <w:b w:val="0"/>
            <w:bCs w:val="0"/>
            <w:spacing w:val="8"/>
          </w:rPr>
          <w:t>TCR</w:t>
        </w:r>
        <w:r>
          <w:rPr>
            <w:rStyle w:val="a"/>
            <w:rFonts w:ascii="PMingLiU" w:eastAsia="PMingLiU" w:hAnsi="PMingLiU" w:cs="PMingLiU"/>
            <w:b w:val="0"/>
            <w:bCs w:val="0"/>
            <w:spacing w:val="8"/>
          </w:rPr>
          <w:t>图片被质疑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一只鱼</w:t>
      </w:r>
      <w:hyperlink r:id="rId5" w:history="1">
        <w:bookmarkStart w:id="0" w:name="js_name"/>
        <w:r>
          <w:rPr>
            <w:rStyle w:val="a"/>
            <w:rFonts w:ascii="PMingLiU" w:eastAsia="PMingLiU" w:hAnsi="PMingLiU" w:cs="PMingLiU"/>
            <w:spacing w:val="8"/>
            <w:sz w:val="23"/>
            <w:szCs w:val="23"/>
          </w:rPr>
          <w:t>严肃科研</w:t>
        </w:r>
      </w:hyperlink>
      <w:bookmarkEnd w:id="0"/>
      <w:r>
        <w:rPr>
          <w:rStyle w:val="richmediametalistem"/>
          <w:rFonts w:ascii="Times New Roman" w:eastAsia="Times New Roman" w:hAnsi="Times New Roman" w:cs="Times New Roman"/>
          <w:color w:val="A5A5A5"/>
          <w:spacing w:val="8"/>
          <w:sz w:val="23"/>
          <w:szCs w:val="23"/>
        </w:rPr>
        <w:t>2025-04-30 17:32:01</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900" w:right="900"/>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b/>
          <w:bCs/>
          <w:color w:val="888888"/>
          <w:spacing w:val="8"/>
          <w:sz w:val="30"/>
          <w:szCs w:val="30"/>
        </w:rPr>
        <w:t>“</w:t>
      </w:r>
      <w:r>
        <w:rPr>
          <w:rStyle w:val="any"/>
          <w:rFonts w:ascii="PMingLiU" w:eastAsia="PMingLiU" w:hAnsi="PMingLiU" w:cs="PMingLiU"/>
          <w:color w:val="888888"/>
          <w:spacing w:val="8"/>
        </w:rPr>
        <w:t>秉持严谨、深入、持续、开放与创新的态度，尊重他人成果，携手交流共进，推动科研发展。</w:t>
      </w:r>
      <w:r>
        <w:rPr>
          <w:rStyle w:val="any"/>
          <w:rFonts w:ascii="Times New Roman" w:eastAsia="Times New Roman" w:hAnsi="Times New Roman" w:cs="Times New Roman"/>
          <w:b/>
          <w:bCs/>
          <w:color w:val="888888"/>
          <w:spacing w:val="8"/>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FFFFFF"/>
          <w:spacing w:val="9"/>
          <w:shd w:val="clear" w:color="auto" w:fill="452724"/>
        </w:rPr>
        <w:t> Research Frontline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452724"/>
          <w:spacing w:val="9"/>
        </w:rPr>
        <w:t>科研前线</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8"/>
          <w:sz w:val="36"/>
          <w:szCs w:val="36"/>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0"/>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8"/>
        </w:rPr>
      </w:pPr>
      <w:r>
        <w:rPr>
          <w:rStyle w:val="any"/>
          <w:rFonts w:ascii="Microsoft YaHei" w:eastAsia="Microsoft YaHei" w:hAnsi="Microsoft YaHei" w:cs="Microsoft YaHei"/>
          <w:b/>
          <w:bCs/>
          <w:color w:val="9A3030"/>
          <w:spacing w:val="22"/>
          <w:sz w:val="27"/>
          <w:szCs w:val="27"/>
        </w:rPr>
        <w:t>问题论文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1057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048598" name=""/>
                    <pic:cNvPicPr>
                      <a:picLocks noChangeAspect="1"/>
                    </pic:cNvPicPr>
                  </pic:nvPicPr>
                  <pic:blipFill>
                    <a:blip xmlns:r="http://schemas.openxmlformats.org/officeDocument/2006/relationships" r:embed="rId6"/>
                    <a:stretch>
                      <a:fillRect/>
                    </a:stretch>
                  </pic:blipFill>
                  <pic:spPr>
                    <a:xfrm>
                      <a:off x="0" y="0"/>
                      <a:ext cx="5486400" cy="271057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标题：</w:t>
      </w:r>
      <w:r>
        <w:rPr>
          <w:rStyle w:val="any"/>
          <w:rFonts w:ascii="Microsoft YaHei UI" w:eastAsia="Microsoft YaHei UI" w:hAnsi="Microsoft YaHei UI" w:cs="Microsoft YaHei UI"/>
          <w:color w:val="9A3030"/>
          <w:spacing w:val="9"/>
          <w:sz w:val="21"/>
          <w:szCs w:val="21"/>
        </w:rPr>
        <w:t>Huisheng Oral Solution exerts anti-tumor effects by downregulating tissue factor and inhibiting the expression of metastasis-related factors, CD44, MMP2, and VEGF</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期刊：</w:t>
      </w:r>
      <w:r>
        <w:rPr>
          <w:rStyle w:val="any"/>
          <w:rFonts w:ascii="Microsoft YaHei UI" w:eastAsia="Microsoft YaHei UI" w:hAnsi="Microsoft YaHei UI" w:cs="Microsoft YaHei UI"/>
          <w:color w:val="3E3E3E"/>
          <w:spacing w:val="9"/>
          <w:sz w:val="21"/>
          <w:szCs w:val="21"/>
        </w:rPr>
        <w:t>Translational Cancer Research</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单位：</w:t>
      </w:r>
      <w:r>
        <w:rPr>
          <w:rStyle w:val="any"/>
          <w:rFonts w:ascii="Microsoft YaHei UI" w:eastAsia="Microsoft YaHei UI" w:hAnsi="Microsoft YaHei UI" w:cs="Microsoft YaHei UI"/>
          <w:color w:val="9A3030"/>
          <w:spacing w:val="9"/>
          <w:sz w:val="21"/>
          <w:szCs w:val="21"/>
        </w:rPr>
        <w:t>四川大学华西药学院</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发表时间：</w:t>
      </w:r>
      <w:r>
        <w:rPr>
          <w:rStyle w:val="any"/>
          <w:rFonts w:ascii="Microsoft YaHei UI" w:eastAsia="Microsoft YaHei UI" w:hAnsi="Microsoft YaHei UI" w:cs="Microsoft YaHei UI"/>
          <w:color w:val="3E3E3E"/>
          <w:spacing w:val="9"/>
          <w:sz w:val="21"/>
          <w:szCs w:val="21"/>
        </w:rPr>
        <w:t>2019年11月28日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DOI: </w:t>
      </w:r>
      <w:r>
        <w:rPr>
          <w:rStyle w:val="any"/>
          <w:rFonts w:ascii="Microsoft YaHei UI" w:eastAsia="Microsoft YaHei UI" w:hAnsi="Microsoft YaHei UI" w:cs="Microsoft YaHei UI"/>
          <w:color w:val="3E3E3E"/>
          <w:spacing w:val="9"/>
          <w:sz w:val="21"/>
          <w:szCs w:val="21"/>
        </w:rPr>
        <w:t> 10.21037/tcr.2019.10.25</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研究摘要：</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Arial" w:eastAsia="Arial" w:hAnsi="Arial" w:cs="Arial"/>
          <w:b w:val="0"/>
          <w:bCs w:val="0"/>
          <w:i w:val="0"/>
          <w:iCs w:val="0"/>
          <w:caps w:val="0"/>
          <w:color w:val="333333"/>
          <w:spacing w:val="0"/>
          <w:sz w:val="21"/>
          <w:szCs w:val="21"/>
        </w:rPr>
        <w:t>In summary, HSOS could inhibit tumor cell metastasis by alleviating hypercoagulability and fibrinolytic disorders through the downregulation of TF, reduction of Fib and D-dimer levels, and the inhibition of platelet aggregation. Moreover, HSOS could directly inhibit tumor metastasis by inhibiting tumor cell adhesion, ECM degradation, neovascularization, and tumor cell migration through the regulation of protein and mRNA expression of metastasis-related factors CD44, MMP2, and VEGF. Additionally, HSOS also could inhibit inflammatory responses and enhance immune function. Together, the present results indicate that HSOS inhibits tumor growth and metastasis via multiple mechanisms.</w:t>
      </w:r>
      <w:r>
        <w:rPr>
          <w:rStyle w:val="any"/>
          <w:rFonts w:ascii="Arial" w:eastAsia="Arial" w:hAnsi="Arial" w:cs="Arial"/>
          <w:b w:val="0"/>
          <w:bCs w:val="0"/>
          <w:i w:val="0"/>
          <w:iCs w:val="0"/>
          <w:caps w:val="0"/>
          <w:color w:val="333333"/>
          <w:spacing w:val="0"/>
          <w:sz w:val="21"/>
          <w:szCs w:val="21"/>
        </w:rPr>
        <w:br/>
      </w:r>
      <w:r>
        <w:rPr>
          <w:rStyle w:val="any"/>
          <w:rFonts w:ascii="PMingLiU" w:eastAsia="PMingLiU" w:hAnsi="PMingLiU" w:cs="PMingLiU"/>
          <w:b w:val="0"/>
          <w:bCs w:val="0"/>
          <w:i w:val="0"/>
          <w:iCs w:val="0"/>
          <w:caps w:val="0"/>
          <w:color w:val="333333"/>
          <w:spacing w:val="0"/>
          <w:sz w:val="21"/>
          <w:szCs w:val="21"/>
          <w:lang w:val="zh-CN" w:eastAsia="zh-CN"/>
        </w:rPr>
        <w:t>总之，</w:t>
      </w:r>
      <w:r>
        <w:rPr>
          <w:rStyle w:val="any"/>
          <w:rFonts w:ascii="Arial" w:eastAsia="Arial" w:hAnsi="Arial" w:cs="Arial"/>
          <w:b w:val="0"/>
          <w:bCs w:val="0"/>
          <w:i w:val="0"/>
          <w:iCs w:val="0"/>
          <w:caps w:val="0"/>
          <w:color w:val="333333"/>
          <w:spacing w:val="0"/>
          <w:sz w:val="21"/>
          <w:szCs w:val="21"/>
          <w:lang w:val="zh-CN" w:eastAsia="zh-CN"/>
        </w:rPr>
        <w:t xml:space="preserve">HSOS </w:t>
      </w:r>
      <w:r>
        <w:rPr>
          <w:rStyle w:val="any"/>
          <w:rFonts w:ascii="PMingLiU" w:eastAsia="PMingLiU" w:hAnsi="PMingLiU" w:cs="PMingLiU"/>
          <w:b w:val="0"/>
          <w:bCs w:val="0"/>
          <w:i w:val="0"/>
          <w:iCs w:val="0"/>
          <w:caps w:val="0"/>
          <w:color w:val="333333"/>
          <w:spacing w:val="0"/>
          <w:sz w:val="21"/>
          <w:szCs w:val="21"/>
          <w:lang w:val="zh-CN" w:eastAsia="zh-CN"/>
        </w:rPr>
        <w:t>可以通过下调</w:t>
      </w:r>
      <w:r>
        <w:rPr>
          <w:rStyle w:val="any"/>
          <w:rFonts w:ascii="Arial" w:eastAsia="Arial" w:hAnsi="Arial" w:cs="Arial"/>
          <w:b w:val="0"/>
          <w:bCs w:val="0"/>
          <w:i w:val="0"/>
          <w:iCs w:val="0"/>
          <w:caps w:val="0"/>
          <w:color w:val="333333"/>
          <w:spacing w:val="0"/>
          <w:sz w:val="21"/>
          <w:szCs w:val="21"/>
          <w:lang w:val="zh-CN" w:eastAsia="zh-CN"/>
        </w:rPr>
        <w:t xml:space="preserve"> TF</w:t>
      </w:r>
      <w:r>
        <w:rPr>
          <w:rStyle w:val="any"/>
          <w:rFonts w:ascii="PMingLiU" w:eastAsia="PMingLiU" w:hAnsi="PMingLiU" w:cs="PMingLiU"/>
          <w:b w:val="0"/>
          <w:bCs w:val="0"/>
          <w:i w:val="0"/>
          <w:iCs w:val="0"/>
          <w:caps w:val="0"/>
          <w:color w:val="333333"/>
          <w:spacing w:val="0"/>
          <w:sz w:val="21"/>
          <w:szCs w:val="21"/>
          <w:lang w:val="zh-CN" w:eastAsia="zh-CN"/>
        </w:rPr>
        <w:t>、降低</w:t>
      </w:r>
      <w:r>
        <w:rPr>
          <w:rStyle w:val="any"/>
          <w:rFonts w:ascii="Arial" w:eastAsia="Arial" w:hAnsi="Arial" w:cs="Arial"/>
          <w:b w:val="0"/>
          <w:bCs w:val="0"/>
          <w:i w:val="0"/>
          <w:iCs w:val="0"/>
          <w:caps w:val="0"/>
          <w:color w:val="333333"/>
          <w:spacing w:val="0"/>
          <w:sz w:val="21"/>
          <w:szCs w:val="21"/>
          <w:lang w:val="zh-CN" w:eastAsia="zh-CN"/>
        </w:rPr>
        <w:t xml:space="preserve"> Fib </w:t>
      </w:r>
      <w:r>
        <w:rPr>
          <w:rStyle w:val="any"/>
          <w:rFonts w:ascii="PMingLiU" w:eastAsia="PMingLiU" w:hAnsi="PMingLiU" w:cs="PMingLiU"/>
          <w:b w:val="0"/>
          <w:bCs w:val="0"/>
          <w:i w:val="0"/>
          <w:iCs w:val="0"/>
          <w:caps w:val="0"/>
          <w:color w:val="333333"/>
          <w:spacing w:val="0"/>
          <w:sz w:val="21"/>
          <w:szCs w:val="21"/>
          <w:lang w:val="zh-CN" w:eastAsia="zh-CN"/>
        </w:rPr>
        <w:t>和</w:t>
      </w:r>
      <w:r>
        <w:rPr>
          <w:rStyle w:val="any"/>
          <w:rFonts w:ascii="Arial" w:eastAsia="Arial" w:hAnsi="Arial" w:cs="Arial"/>
          <w:b w:val="0"/>
          <w:bCs w:val="0"/>
          <w:i w:val="0"/>
          <w:iCs w:val="0"/>
          <w:caps w:val="0"/>
          <w:color w:val="333333"/>
          <w:spacing w:val="0"/>
          <w:sz w:val="21"/>
          <w:szCs w:val="21"/>
          <w:lang w:val="zh-CN" w:eastAsia="zh-CN"/>
        </w:rPr>
        <w:t xml:space="preserve"> D-</w:t>
      </w:r>
      <w:r>
        <w:rPr>
          <w:rStyle w:val="any"/>
          <w:rFonts w:ascii="PMingLiU" w:eastAsia="PMingLiU" w:hAnsi="PMingLiU" w:cs="PMingLiU"/>
          <w:b w:val="0"/>
          <w:bCs w:val="0"/>
          <w:i w:val="0"/>
          <w:iCs w:val="0"/>
          <w:caps w:val="0"/>
          <w:color w:val="333333"/>
          <w:spacing w:val="0"/>
          <w:sz w:val="21"/>
          <w:szCs w:val="21"/>
          <w:lang w:val="zh-CN" w:eastAsia="zh-CN"/>
        </w:rPr>
        <w:t>二聚体水平以及抑制血小板聚集来减轻高凝状态和纤溶障碍，从而抑制肿瘤细胞转移。此外，</w:t>
      </w:r>
      <w:r>
        <w:rPr>
          <w:rStyle w:val="any"/>
          <w:rFonts w:ascii="Arial" w:eastAsia="Arial" w:hAnsi="Arial" w:cs="Arial"/>
          <w:b w:val="0"/>
          <w:bCs w:val="0"/>
          <w:i w:val="0"/>
          <w:iCs w:val="0"/>
          <w:caps w:val="0"/>
          <w:color w:val="333333"/>
          <w:spacing w:val="0"/>
          <w:sz w:val="21"/>
          <w:szCs w:val="21"/>
          <w:lang w:val="zh-CN" w:eastAsia="zh-CN"/>
        </w:rPr>
        <w:t xml:space="preserve">HSOS </w:t>
      </w:r>
      <w:r>
        <w:rPr>
          <w:rStyle w:val="any"/>
          <w:rFonts w:ascii="PMingLiU" w:eastAsia="PMingLiU" w:hAnsi="PMingLiU" w:cs="PMingLiU"/>
          <w:b w:val="0"/>
          <w:bCs w:val="0"/>
          <w:i w:val="0"/>
          <w:iCs w:val="0"/>
          <w:caps w:val="0"/>
          <w:color w:val="333333"/>
          <w:spacing w:val="0"/>
          <w:sz w:val="21"/>
          <w:szCs w:val="21"/>
          <w:lang w:val="zh-CN" w:eastAsia="zh-CN"/>
        </w:rPr>
        <w:t>还可以通过调节与转移相关的因子</w:t>
      </w:r>
      <w:r>
        <w:rPr>
          <w:rStyle w:val="any"/>
          <w:rFonts w:ascii="Arial" w:eastAsia="Arial" w:hAnsi="Arial" w:cs="Arial"/>
          <w:b w:val="0"/>
          <w:bCs w:val="0"/>
          <w:i w:val="0"/>
          <w:iCs w:val="0"/>
          <w:caps w:val="0"/>
          <w:color w:val="333333"/>
          <w:spacing w:val="0"/>
          <w:sz w:val="21"/>
          <w:szCs w:val="21"/>
          <w:lang w:val="zh-CN" w:eastAsia="zh-CN"/>
        </w:rPr>
        <w:t xml:space="preserve"> CD44</w:t>
      </w:r>
      <w:r>
        <w:rPr>
          <w:rStyle w:val="any"/>
          <w:rFonts w:ascii="PMingLiU" w:eastAsia="PMingLiU" w:hAnsi="PMingLiU" w:cs="PMingLiU"/>
          <w:b w:val="0"/>
          <w:bCs w:val="0"/>
          <w:i w:val="0"/>
          <w:iCs w:val="0"/>
          <w:caps w:val="0"/>
          <w:color w:val="333333"/>
          <w:spacing w:val="0"/>
          <w:sz w:val="21"/>
          <w:szCs w:val="21"/>
          <w:lang w:val="zh-CN" w:eastAsia="zh-CN"/>
        </w:rPr>
        <w:t>、</w:t>
      </w:r>
      <w:r>
        <w:rPr>
          <w:rStyle w:val="any"/>
          <w:rFonts w:ascii="Arial" w:eastAsia="Arial" w:hAnsi="Arial" w:cs="Arial"/>
          <w:b w:val="0"/>
          <w:bCs w:val="0"/>
          <w:i w:val="0"/>
          <w:iCs w:val="0"/>
          <w:caps w:val="0"/>
          <w:color w:val="333333"/>
          <w:spacing w:val="0"/>
          <w:sz w:val="21"/>
          <w:szCs w:val="21"/>
          <w:lang w:val="zh-CN" w:eastAsia="zh-CN"/>
        </w:rPr>
        <w:t xml:space="preserve">MMP2 </w:t>
      </w:r>
      <w:r>
        <w:rPr>
          <w:rStyle w:val="any"/>
          <w:rFonts w:ascii="PMingLiU" w:eastAsia="PMingLiU" w:hAnsi="PMingLiU" w:cs="PMingLiU"/>
          <w:b w:val="0"/>
          <w:bCs w:val="0"/>
          <w:i w:val="0"/>
          <w:iCs w:val="0"/>
          <w:caps w:val="0"/>
          <w:color w:val="333333"/>
          <w:spacing w:val="0"/>
          <w:sz w:val="21"/>
          <w:szCs w:val="21"/>
          <w:lang w:val="zh-CN" w:eastAsia="zh-CN"/>
        </w:rPr>
        <w:t>和</w:t>
      </w:r>
      <w:r>
        <w:rPr>
          <w:rStyle w:val="any"/>
          <w:rFonts w:ascii="Arial" w:eastAsia="Arial" w:hAnsi="Arial" w:cs="Arial"/>
          <w:b w:val="0"/>
          <w:bCs w:val="0"/>
          <w:i w:val="0"/>
          <w:iCs w:val="0"/>
          <w:caps w:val="0"/>
          <w:color w:val="333333"/>
          <w:spacing w:val="0"/>
          <w:sz w:val="21"/>
          <w:szCs w:val="21"/>
          <w:lang w:val="zh-CN" w:eastAsia="zh-CN"/>
        </w:rPr>
        <w:t xml:space="preserve"> VEGF </w:t>
      </w:r>
      <w:r>
        <w:rPr>
          <w:rStyle w:val="any"/>
          <w:rFonts w:ascii="PMingLiU" w:eastAsia="PMingLiU" w:hAnsi="PMingLiU" w:cs="PMingLiU"/>
          <w:b w:val="0"/>
          <w:bCs w:val="0"/>
          <w:i w:val="0"/>
          <w:iCs w:val="0"/>
          <w:caps w:val="0"/>
          <w:color w:val="333333"/>
          <w:spacing w:val="0"/>
          <w:sz w:val="21"/>
          <w:szCs w:val="21"/>
          <w:lang w:val="zh-CN" w:eastAsia="zh-CN"/>
        </w:rPr>
        <w:t>的蛋白质和</w:t>
      </w:r>
      <w:r>
        <w:rPr>
          <w:rStyle w:val="any"/>
          <w:rFonts w:ascii="Arial" w:eastAsia="Arial" w:hAnsi="Arial" w:cs="Arial"/>
          <w:b w:val="0"/>
          <w:bCs w:val="0"/>
          <w:i w:val="0"/>
          <w:iCs w:val="0"/>
          <w:caps w:val="0"/>
          <w:color w:val="333333"/>
          <w:spacing w:val="0"/>
          <w:sz w:val="21"/>
          <w:szCs w:val="21"/>
          <w:lang w:val="zh-CN" w:eastAsia="zh-CN"/>
        </w:rPr>
        <w:t xml:space="preserve"> mRNA </w:t>
      </w:r>
      <w:r>
        <w:rPr>
          <w:rStyle w:val="any"/>
          <w:rFonts w:ascii="PMingLiU" w:eastAsia="PMingLiU" w:hAnsi="PMingLiU" w:cs="PMingLiU"/>
          <w:b w:val="0"/>
          <w:bCs w:val="0"/>
          <w:i w:val="0"/>
          <w:iCs w:val="0"/>
          <w:caps w:val="0"/>
          <w:color w:val="333333"/>
          <w:spacing w:val="0"/>
          <w:sz w:val="21"/>
          <w:szCs w:val="21"/>
          <w:lang w:val="zh-CN" w:eastAsia="zh-CN"/>
        </w:rPr>
        <w:t>表达，直接抑制肿瘤细胞的粘附、</w:t>
      </w:r>
      <w:r>
        <w:rPr>
          <w:rStyle w:val="any"/>
          <w:rFonts w:ascii="Arial" w:eastAsia="Arial" w:hAnsi="Arial" w:cs="Arial"/>
          <w:b w:val="0"/>
          <w:bCs w:val="0"/>
          <w:i w:val="0"/>
          <w:iCs w:val="0"/>
          <w:caps w:val="0"/>
          <w:color w:val="333333"/>
          <w:spacing w:val="0"/>
          <w:sz w:val="21"/>
          <w:szCs w:val="21"/>
          <w:lang w:val="zh-CN" w:eastAsia="zh-CN"/>
        </w:rPr>
        <w:t xml:space="preserve">ECM </w:t>
      </w:r>
      <w:r>
        <w:rPr>
          <w:rStyle w:val="any"/>
          <w:rFonts w:ascii="PMingLiU" w:eastAsia="PMingLiU" w:hAnsi="PMingLiU" w:cs="PMingLiU"/>
          <w:b w:val="0"/>
          <w:bCs w:val="0"/>
          <w:i w:val="0"/>
          <w:iCs w:val="0"/>
          <w:caps w:val="0"/>
          <w:color w:val="333333"/>
          <w:spacing w:val="0"/>
          <w:sz w:val="21"/>
          <w:szCs w:val="21"/>
          <w:lang w:val="zh-CN" w:eastAsia="zh-CN"/>
        </w:rPr>
        <w:t>降解、血管生成和肿瘤细胞迁移，从而抑制肿瘤转移。此外，</w:t>
      </w:r>
      <w:r>
        <w:rPr>
          <w:rStyle w:val="any"/>
          <w:rFonts w:ascii="Arial" w:eastAsia="Arial" w:hAnsi="Arial" w:cs="Arial"/>
          <w:b w:val="0"/>
          <w:bCs w:val="0"/>
          <w:i w:val="0"/>
          <w:iCs w:val="0"/>
          <w:caps w:val="0"/>
          <w:color w:val="333333"/>
          <w:spacing w:val="0"/>
          <w:sz w:val="21"/>
          <w:szCs w:val="21"/>
          <w:lang w:val="zh-CN" w:eastAsia="zh-CN"/>
        </w:rPr>
        <w:t xml:space="preserve">HSOS </w:t>
      </w:r>
      <w:r>
        <w:rPr>
          <w:rStyle w:val="any"/>
          <w:rFonts w:ascii="PMingLiU" w:eastAsia="PMingLiU" w:hAnsi="PMingLiU" w:cs="PMingLiU"/>
          <w:b w:val="0"/>
          <w:bCs w:val="0"/>
          <w:i w:val="0"/>
          <w:iCs w:val="0"/>
          <w:caps w:val="0"/>
          <w:color w:val="333333"/>
          <w:spacing w:val="0"/>
          <w:sz w:val="21"/>
          <w:szCs w:val="21"/>
          <w:lang w:val="zh-CN" w:eastAsia="zh-CN"/>
        </w:rPr>
        <w:t>还可以抑制炎症反应并增强免疫功能。总之，目前的研究结果表明，</w:t>
      </w:r>
      <w:r>
        <w:rPr>
          <w:rStyle w:val="any"/>
          <w:rFonts w:ascii="Arial" w:eastAsia="Arial" w:hAnsi="Arial" w:cs="Arial"/>
          <w:b w:val="0"/>
          <w:bCs w:val="0"/>
          <w:i w:val="0"/>
          <w:iCs w:val="0"/>
          <w:caps w:val="0"/>
          <w:color w:val="333333"/>
          <w:spacing w:val="0"/>
          <w:sz w:val="21"/>
          <w:szCs w:val="21"/>
          <w:lang w:val="zh-CN" w:eastAsia="zh-CN"/>
        </w:rPr>
        <w:t xml:space="preserve">HSOS </w:t>
      </w:r>
      <w:r>
        <w:rPr>
          <w:rStyle w:val="any"/>
          <w:rFonts w:ascii="PMingLiU" w:eastAsia="PMingLiU" w:hAnsi="PMingLiU" w:cs="PMingLiU"/>
          <w:b w:val="0"/>
          <w:bCs w:val="0"/>
          <w:i w:val="0"/>
          <w:iCs w:val="0"/>
          <w:caps w:val="0"/>
          <w:color w:val="333333"/>
          <w:spacing w:val="0"/>
          <w:sz w:val="21"/>
          <w:szCs w:val="21"/>
          <w:lang w:val="zh-CN" w:eastAsia="zh-CN"/>
        </w:rPr>
        <w:t>通过多种机制抑制肿瘤生长和转移。</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9"/>
        </w:rPr>
      </w:pPr>
      <w:r>
        <w:rPr>
          <w:rStyle w:val="any"/>
          <w:rFonts w:ascii="Arial" w:eastAsia="Arial" w:hAnsi="Arial" w:cs="Arial"/>
          <w:b w:val="0"/>
          <w:bCs w:val="0"/>
          <w:i w:val="0"/>
          <w:iCs w:val="0"/>
          <w:caps w:val="0"/>
          <w:color w:val="1AAD19"/>
          <w:spacing w:val="0"/>
          <w:sz w:val="36"/>
          <w:szCs w:val="36"/>
          <w:lang w:val="zh-CN" w:eastAsia="zh-CN"/>
        </w:rPr>
        <w:t>02</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9"/>
        </w:rPr>
      </w:pPr>
      <w:r>
        <w:rPr>
          <w:rStyle w:val="any"/>
          <w:rFonts w:ascii="Arial" w:eastAsia="Arial" w:hAnsi="Arial" w:cs="Arial"/>
          <w:b w:val="0"/>
          <w:bCs w:val="0"/>
          <w:i w:val="0"/>
          <w:iCs w:val="0"/>
          <w:caps w:val="0"/>
          <w:color w:val="1AAD19"/>
          <w:spacing w:val="0"/>
          <w:sz w:val="30"/>
          <w:szCs w:val="30"/>
          <w:lang w:val="zh-CN" w:eastAsia="zh-CN"/>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9"/>
        </w:rPr>
      </w:pPr>
      <w:r>
        <w:rPr>
          <w:rStyle w:val="any"/>
          <w:rFonts w:ascii="Microsoft YaHei" w:eastAsia="Microsoft YaHei" w:hAnsi="Microsoft YaHei" w:cs="Microsoft YaHei"/>
          <w:b/>
          <w:bCs/>
          <w:i w:val="0"/>
          <w:iCs w:val="0"/>
          <w:caps w:val="0"/>
          <w:color w:val="9A3030"/>
          <w:spacing w:val="22"/>
          <w:sz w:val="27"/>
          <w:szCs w:val="27"/>
          <w:lang w:val="zh-CN" w:eastAsia="zh-CN"/>
        </w:rPr>
        <w:t>具体说明</w:t>
      </w:r>
    </w:p>
    <w:p>
      <w:pPr>
        <w:shd w:val="clear" w:color="auto" w:fill="FFFFFF"/>
        <w:spacing w:before="0" w:after="0" w:line="384" w:lineRule="atLeast"/>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5486400" cy="355167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806051" name=""/>
                    <pic:cNvPicPr>
                      <a:picLocks noChangeAspect="1"/>
                    </pic:cNvPicPr>
                  </pic:nvPicPr>
                  <pic:blipFill>
                    <a:blip xmlns:r="http://schemas.openxmlformats.org/officeDocument/2006/relationships" r:embed="rId7"/>
                    <a:stretch>
                      <a:fillRect/>
                    </a:stretch>
                  </pic:blipFill>
                  <pic:spPr>
                    <a:xfrm>
                      <a:off x="0" y="0"/>
                      <a:ext cx="5486400" cy="355167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br/>
      </w:r>
      <w:r>
        <w:rPr>
          <w:rStyle w:val="any"/>
          <w:rFonts w:ascii="PMingLiU" w:eastAsia="PMingLiU" w:hAnsi="PMingLiU" w:cs="PMingLiU"/>
          <w:b/>
          <w:bCs/>
          <w:i w:val="0"/>
          <w:iCs w:val="0"/>
          <w:caps w:val="0"/>
          <w:color w:val="333333"/>
          <w:spacing w:val="9"/>
          <w:sz w:val="21"/>
          <w:szCs w:val="21"/>
          <w:lang w:val="zh-CN" w:eastAsia="zh-CN"/>
        </w:rPr>
        <w:t>参考信息</w:t>
      </w:r>
      <w:r>
        <w:rPr>
          <w:rStyle w:val="any"/>
          <w:rFonts w:ascii="Arial" w:eastAsia="Arial" w:hAnsi="Arial" w:cs="Arial"/>
          <w:b/>
          <w:bCs/>
          <w:i w:val="0"/>
          <w:iCs w:val="0"/>
          <w:caps w:val="0"/>
          <w:color w:val="333333"/>
          <w:spacing w:val="9"/>
          <w:sz w:val="21"/>
          <w:szCs w:val="21"/>
          <w:lang w:val="zh-CN" w:eastAsia="zh-CN"/>
        </w:rPr>
        <w:br/>
      </w:r>
      <w:r>
        <w:rPr>
          <w:rStyle w:val="any"/>
          <w:rFonts w:ascii="Arial" w:eastAsia="Arial" w:hAnsi="Arial" w:cs="Arial"/>
          <w:b/>
          <w:bCs/>
          <w:i w:val="0"/>
          <w:iCs w:val="0"/>
          <w:caps w:val="0"/>
          <w:color w:val="333333"/>
          <w:spacing w:val="9"/>
          <w:sz w:val="18"/>
          <w:szCs w:val="18"/>
          <w:lang w:val="zh-CN" w:eastAsia="zh-CN"/>
        </w:rPr>
        <w:t>https://tcr.amegroups.org/article/view/33280/23103</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Arial" w:eastAsia="Arial" w:hAnsi="Arial" w:cs="Arial"/>
          <w:b/>
          <w:bCs/>
          <w:i w:val="0"/>
          <w:iCs w:val="0"/>
          <w:caps w:val="0"/>
          <w:color w:val="333333"/>
          <w:spacing w:val="9"/>
          <w:sz w:val="18"/>
          <w:szCs w:val="18"/>
          <w:lang w:val="zh-CN" w:eastAsia="zh-CN"/>
        </w:rPr>
        <w:t>https://pubpeer.com/publications/97C154F8858FE3C3CAAAF2E643FEE9</w:t>
      </w:r>
      <w:r>
        <w:rPr>
          <w:rStyle w:val="a"/>
          <w:rFonts w:ascii="Arial" w:eastAsia="Arial" w:hAnsi="Arial" w:cs="Arial"/>
          <w:b/>
          <w:bCs/>
          <w:i w:val="0"/>
          <w:iCs w:val="0"/>
          <w:caps w:val="0"/>
          <w:spacing w:val="9"/>
          <w:sz w:val="18"/>
          <w:szCs w:val="18"/>
          <w:lang w:val="zh-CN" w:eastAsia="zh-CN"/>
        </w:rPr>
        <w:t>#0</w:t>
      </w:r>
    </w:p>
    <w:p>
      <w:pPr>
        <w:pStyle w:val="anyParagraph"/>
        <w:numPr>
          <w:ilvl w:val="0"/>
          <w:numId w:val="1"/>
        </w:numPr>
        <w:shd w:val="clear" w:color="auto" w:fill="FFFFFF"/>
        <w:spacing w:before="150" w:after="0" w:line="390" w:lineRule="atLeast"/>
        <w:ind w:left="690" w:right="315" w:hanging="197"/>
        <w:jc w:val="left"/>
        <w:rPr>
          <w:rStyle w:val="any"/>
          <w:rFonts w:ascii="Times New Roman" w:eastAsia="Times New Roman" w:hAnsi="Times New Roman" w:cs="Times New Roman"/>
          <w:color w:val="333333"/>
          <w:spacing w:val="9"/>
          <w:sz w:val="21"/>
          <w:szCs w:val="21"/>
        </w:rPr>
      </w:pPr>
    </w:p>
    <w:p>
      <w:pPr>
        <w:shd w:val="clear" w:color="auto" w:fill="FFFFFF"/>
        <w:spacing w:before="0" w:after="150" w:line="390" w:lineRule="atLeast"/>
        <w:ind w:left="690" w:right="315"/>
        <w:jc w:val="left"/>
        <w:rPr>
          <w:rStyle w:val="any"/>
          <w:rFonts w:ascii="Consolas" w:eastAsia="Consolas" w:hAnsi="Consolas" w:cs="Consolas"/>
          <w:color w:val="333333"/>
          <w:spacing w:val="9"/>
          <w:sz w:val="21"/>
          <w:szCs w:val="21"/>
        </w:rPr>
      </w:pPr>
      <w:r>
        <w:rPr>
          <w:rStyle w:val="any"/>
          <w:rFonts w:ascii="PMingLiU" w:eastAsia="PMingLiU" w:hAnsi="PMingLiU" w:cs="PMingLiU"/>
          <w:color w:val="333333"/>
          <w:spacing w:val="9"/>
          <w:sz w:val="21"/>
          <w:szCs w:val="21"/>
        </w:rPr>
        <w:t>本平台对于科研问题的探讨，始终保持严谨、深入、持续、开放和创新的态度。所有推文信源，均来源于</w:t>
      </w:r>
      <w:r>
        <w:rPr>
          <w:rStyle w:val="any"/>
          <w:rFonts w:ascii="Consolas" w:eastAsia="Consolas" w:hAnsi="Consolas" w:cs="Consolas"/>
          <w:color w:val="333333"/>
          <w:spacing w:val="9"/>
          <w:sz w:val="21"/>
          <w:szCs w:val="21"/>
        </w:rPr>
        <w:t>pubpeer</w:t>
      </w:r>
      <w:r>
        <w:rPr>
          <w:rStyle w:val="any"/>
          <w:rFonts w:ascii="PMingLiU" w:eastAsia="PMingLiU" w:hAnsi="PMingLiU" w:cs="PMingLiU"/>
          <w:color w:val="333333"/>
          <w:spacing w:val="9"/>
          <w:sz w:val="21"/>
          <w:szCs w:val="21"/>
        </w:rPr>
        <w:t>、</w:t>
      </w:r>
      <w:r>
        <w:rPr>
          <w:rStyle w:val="any"/>
          <w:rFonts w:ascii="Consolas" w:eastAsia="Consolas" w:hAnsi="Consolas" w:cs="Consolas"/>
          <w:color w:val="333333"/>
          <w:spacing w:val="9"/>
          <w:sz w:val="21"/>
          <w:szCs w:val="21"/>
        </w:rPr>
        <w:t>For Better Science</w:t>
      </w:r>
      <w:r>
        <w:rPr>
          <w:rStyle w:val="any"/>
          <w:rFonts w:ascii="PMingLiU" w:eastAsia="PMingLiU" w:hAnsi="PMingLiU" w:cs="PMingLiU"/>
          <w:color w:val="333333"/>
          <w:spacing w:val="9"/>
          <w:sz w:val="21"/>
          <w:szCs w:val="21"/>
        </w:rPr>
        <w:t>等网站公开质疑。我们从来没有、也永远不会主动查重论文并去</w:t>
      </w:r>
      <w:r>
        <w:rPr>
          <w:rStyle w:val="any"/>
          <w:rFonts w:ascii="Consolas" w:eastAsia="Consolas" w:hAnsi="Consolas" w:cs="Consolas"/>
          <w:color w:val="333333"/>
          <w:spacing w:val="9"/>
          <w:sz w:val="21"/>
          <w:szCs w:val="21"/>
        </w:rPr>
        <w:t>pubpeer</w:t>
      </w:r>
      <w:r>
        <w:rPr>
          <w:rStyle w:val="any"/>
          <w:rFonts w:ascii="PMingLiU" w:eastAsia="PMingLiU" w:hAnsi="PMingLiU" w:cs="PMingLiU"/>
          <w:color w:val="333333"/>
          <w:spacing w:val="9"/>
          <w:sz w:val="21"/>
          <w:szCs w:val="21"/>
        </w:rPr>
        <w:t>上质疑。我们尊重他人的研究成果和贡献，通过交流和合作，共同推动科研领域的进步和发展。</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xODcwODMzMw==&amp;mid=2247484137&amp;idx=1&amp;sn=79f460bd048ecf924345570d02baf04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numbering" Target="numbering.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