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北京协和</w:t>
        </w:r>
        <w:r>
          <w:rPr>
            <w:rStyle w:val="a"/>
            <w:rFonts w:ascii="Times New Roman" w:eastAsia="Times New Roman" w:hAnsi="Times New Roman" w:cs="Times New Roman"/>
            <w:b w:val="0"/>
            <w:bCs w:val="0"/>
            <w:spacing w:val="8"/>
          </w:rPr>
          <w:t>STTT</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2025-04-17 20:36:11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Dysregulated ceramides metabolism by fatty acid 2-hydroxylase exposes a metabolic vulnerability to target cancer metastasis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Signal Transduction and Targeted Therapy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中国医学科学院北京协和医学院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2022年10月24日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10.1038/s41392-022-01199-1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Segoe UI" w:eastAsia="Segoe UI" w:hAnsi="Segoe UI" w:cs="Segoe UI"/>
          <w:b w:val="0"/>
          <w:bCs w:val="0"/>
          <w:i w:val="0"/>
          <w:iCs w:val="0"/>
          <w:caps w:val="0"/>
          <w:color w:val="212121"/>
          <w:spacing w:val="0"/>
          <w:sz w:val="23"/>
          <w:szCs w:val="23"/>
        </w:rPr>
      </w:pPr>
      <w:r>
        <w:rPr>
          <w:rStyle w:val="any"/>
          <w:rFonts w:ascii="Segoe UI" w:eastAsia="Segoe UI" w:hAnsi="Segoe UI" w:cs="Segoe UI"/>
          <w:b w:val="0"/>
          <w:bCs w:val="0"/>
          <w:i w:val="0"/>
          <w:iCs w:val="0"/>
          <w:caps w:val="0"/>
          <w:color w:val="212121"/>
          <w:spacing w:val="0"/>
          <w:sz w:val="23"/>
          <w:szCs w:val="23"/>
        </w:rPr>
        <w:t>Whereas it is appreciated that cancer cells rewire lipid metabolism to survive and propagate, the roles of lipid metabolism in metastasis remain largely unknown. In this study, using esophageal squamous cell carcinoma (ESCC) as a pulmonary metastasis model, we find that the enzyme fatty acid 2-hydroxylase (FA2H), which catalyzes the hydroxylation of free fatty acids (FAs), is enriched in a subpopulation of ESCC cells with high metastatic potential, and that FA2H knockdown markedly mitigates metastatic lesions. Moreover, increased FA2H expression is positively associated with poor survival in patients with ESCC. Lipidomics analysis identifies that two dihydroceramides-Cer(d18:0/24:0) and Cer(d18:0/24:1)-are increased in FA2H-depleted metastasizing ESCC cells. Upon administration, Cer(d18:0/24:0) and Cer(d18:0/24:1) impair the formation of overt metastases in a mouse experimental metastasis model. Then, forkhead box protein C2 (FOXC2) and FA2H are found to be co-upregulated in metastatic ESCC cell populations and ESCC specimens, and FA2H expression is further experimentally verified to be transcriptionally induced by FOXC2, which is boosted per se by tumour necrosis factor α (TNFα), a critical pro-metastasis cytokine in the tumour microenvironment, in metastasizing cells. Together, these results demonstrate that TNFα-FOXC2-FA2H is a novel signaling axis to promote metastasis, and its downstream dihydroceramide products could be promising drugs to intervene in metastasis.</w:t>
      </w:r>
      <w:r>
        <w:rPr>
          <w:rStyle w:val="any"/>
          <w:rFonts w:ascii="Segoe UI" w:eastAsia="Segoe UI" w:hAnsi="Segoe UI" w:cs="Segoe UI"/>
          <w:b w:val="0"/>
          <w:bCs w:val="0"/>
          <w:i w:val="0"/>
          <w:iCs w:val="0"/>
          <w:caps w:val="0"/>
          <w:color w:val="212121"/>
          <w:spacing w:val="0"/>
          <w:sz w:val="23"/>
          <w:szCs w:val="23"/>
        </w:rPr>
        <w:br/>
      </w:r>
      <w:r>
        <w:rPr>
          <w:rStyle w:val="any"/>
          <w:rFonts w:ascii="PMingLiU" w:eastAsia="PMingLiU" w:hAnsi="PMingLiU" w:cs="PMingLiU"/>
          <w:b w:val="0"/>
          <w:bCs w:val="0"/>
          <w:i w:val="0"/>
          <w:iCs w:val="0"/>
          <w:caps w:val="0"/>
          <w:color w:val="212121"/>
          <w:spacing w:val="0"/>
          <w:sz w:val="23"/>
          <w:szCs w:val="23"/>
          <w:lang w:val="zh-CN" w:eastAsia="zh-CN"/>
        </w:rPr>
        <w:t>癌症细胞重新配置脂质代谢以生存和传播，这一点得到了认可，但脂质代谢在转移中的作用仍</w:t>
      </w:r>
      <w:r>
        <w:rPr>
          <w:rStyle w:val="any"/>
          <w:rFonts w:ascii="Segoe UI" w:eastAsia="Segoe UI" w:hAnsi="Segoe UI" w:cs="Segoe UI"/>
          <w:b w:val="0"/>
          <w:bCs w:val="0"/>
          <w:i w:val="0"/>
          <w:iCs w:val="0"/>
          <w:caps w:val="0"/>
          <w:color w:val="212121"/>
          <w:spacing w:val="0"/>
          <w:sz w:val="23"/>
          <w:szCs w:val="23"/>
          <w:lang w:val="zh-CN" w:eastAsia="zh-CN"/>
        </w:rPr>
        <w:t xml:space="preserve"> largely </w:t>
      </w:r>
      <w:r>
        <w:rPr>
          <w:rStyle w:val="any"/>
          <w:rFonts w:ascii="PMingLiU" w:eastAsia="PMingLiU" w:hAnsi="PMingLiU" w:cs="PMingLiU"/>
          <w:b w:val="0"/>
          <w:bCs w:val="0"/>
          <w:i w:val="0"/>
          <w:iCs w:val="0"/>
          <w:caps w:val="0"/>
          <w:color w:val="212121"/>
          <w:spacing w:val="0"/>
          <w:sz w:val="23"/>
          <w:szCs w:val="23"/>
          <w:lang w:val="zh-CN" w:eastAsia="zh-CN"/>
        </w:rPr>
        <w:t>未知。在本研究中，以食管鳞状细胞癌（</w:t>
      </w:r>
      <w:r>
        <w:rPr>
          <w:rStyle w:val="any"/>
          <w:rFonts w:ascii="Segoe UI" w:eastAsia="Segoe UI" w:hAnsi="Segoe UI" w:cs="Segoe UI"/>
          <w:b w:val="0"/>
          <w:bCs w:val="0"/>
          <w:i w:val="0"/>
          <w:iCs w:val="0"/>
          <w:caps w:val="0"/>
          <w:color w:val="212121"/>
          <w:spacing w:val="0"/>
          <w:sz w:val="23"/>
          <w:szCs w:val="23"/>
          <w:lang w:val="zh-CN" w:eastAsia="zh-CN"/>
        </w:rPr>
        <w:t>ESCC</w:t>
      </w:r>
      <w:r>
        <w:rPr>
          <w:rStyle w:val="any"/>
          <w:rFonts w:ascii="PMingLiU" w:eastAsia="PMingLiU" w:hAnsi="PMingLiU" w:cs="PMingLiU"/>
          <w:b w:val="0"/>
          <w:bCs w:val="0"/>
          <w:i w:val="0"/>
          <w:iCs w:val="0"/>
          <w:caps w:val="0"/>
          <w:color w:val="212121"/>
          <w:spacing w:val="0"/>
          <w:sz w:val="23"/>
          <w:szCs w:val="23"/>
          <w:lang w:val="zh-CN" w:eastAsia="zh-CN"/>
        </w:rPr>
        <w:t>）作为肺转移模型，我们发现催化游离脂肪酸（</w:t>
      </w:r>
      <w:r>
        <w:rPr>
          <w:rStyle w:val="any"/>
          <w:rFonts w:ascii="Segoe UI" w:eastAsia="Segoe UI" w:hAnsi="Segoe UI" w:cs="Segoe UI"/>
          <w:b w:val="0"/>
          <w:bCs w:val="0"/>
          <w:i w:val="0"/>
          <w:iCs w:val="0"/>
          <w:caps w:val="0"/>
          <w:color w:val="212121"/>
          <w:spacing w:val="0"/>
          <w:sz w:val="23"/>
          <w:szCs w:val="23"/>
          <w:lang w:val="zh-CN" w:eastAsia="zh-CN"/>
        </w:rPr>
        <w:t>FAs</w:t>
      </w:r>
      <w:r>
        <w:rPr>
          <w:rStyle w:val="any"/>
          <w:rFonts w:ascii="PMingLiU" w:eastAsia="PMingLiU" w:hAnsi="PMingLiU" w:cs="PMingLiU"/>
          <w:b w:val="0"/>
          <w:bCs w:val="0"/>
          <w:i w:val="0"/>
          <w:iCs w:val="0"/>
          <w:caps w:val="0"/>
          <w:color w:val="212121"/>
          <w:spacing w:val="0"/>
          <w:sz w:val="23"/>
          <w:szCs w:val="23"/>
          <w:lang w:val="zh-CN" w:eastAsia="zh-CN"/>
        </w:rPr>
        <w:t>）羟基化的酶脂肪酸</w:t>
      </w:r>
      <w:r>
        <w:rPr>
          <w:rStyle w:val="any"/>
          <w:rFonts w:ascii="Segoe UI" w:eastAsia="Segoe UI" w:hAnsi="Segoe UI" w:cs="Segoe UI"/>
          <w:b w:val="0"/>
          <w:bCs w:val="0"/>
          <w:i w:val="0"/>
          <w:iCs w:val="0"/>
          <w:caps w:val="0"/>
          <w:color w:val="212121"/>
          <w:spacing w:val="0"/>
          <w:sz w:val="23"/>
          <w:szCs w:val="23"/>
          <w:lang w:val="zh-CN" w:eastAsia="zh-CN"/>
        </w:rPr>
        <w:t xml:space="preserve"> 2-</w:t>
      </w:r>
      <w:r>
        <w:rPr>
          <w:rStyle w:val="any"/>
          <w:rFonts w:ascii="PMingLiU" w:eastAsia="PMingLiU" w:hAnsi="PMingLiU" w:cs="PMingLiU"/>
          <w:b w:val="0"/>
          <w:bCs w:val="0"/>
          <w:i w:val="0"/>
          <w:iCs w:val="0"/>
          <w:caps w:val="0"/>
          <w:color w:val="212121"/>
          <w:spacing w:val="0"/>
          <w:sz w:val="23"/>
          <w:szCs w:val="23"/>
          <w:lang w:val="zh-CN" w:eastAsia="zh-CN"/>
        </w:rPr>
        <w:t>羟基化酶（</w:t>
      </w:r>
      <w:r>
        <w:rPr>
          <w:rStyle w:val="any"/>
          <w:rFonts w:ascii="Segoe UI" w:eastAsia="Segoe UI" w:hAnsi="Segoe UI" w:cs="Segoe UI"/>
          <w:b w:val="0"/>
          <w:bCs w:val="0"/>
          <w:i w:val="0"/>
          <w:iCs w:val="0"/>
          <w:caps w:val="0"/>
          <w:color w:val="212121"/>
          <w:spacing w:val="0"/>
          <w:sz w:val="23"/>
          <w:szCs w:val="23"/>
          <w:lang w:val="zh-CN" w:eastAsia="zh-CN"/>
        </w:rPr>
        <w:t>FA2H</w:t>
      </w:r>
      <w:r>
        <w:rPr>
          <w:rStyle w:val="any"/>
          <w:rFonts w:ascii="PMingLiU" w:eastAsia="PMingLiU" w:hAnsi="PMingLiU" w:cs="PMingLiU"/>
          <w:b w:val="0"/>
          <w:bCs w:val="0"/>
          <w:i w:val="0"/>
          <w:iCs w:val="0"/>
          <w:caps w:val="0"/>
          <w:color w:val="212121"/>
          <w:spacing w:val="0"/>
          <w:sz w:val="23"/>
          <w:szCs w:val="23"/>
          <w:lang w:val="zh-CN" w:eastAsia="zh-CN"/>
        </w:rPr>
        <w:t>）在具有高转移潜能的</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细胞亚群中富集，并且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敲低显著减轻了转移性病变。此外，</w:t>
      </w:r>
      <w:r>
        <w:rPr>
          <w:rStyle w:val="any"/>
          <w:rFonts w:ascii="Segoe UI" w:eastAsia="Segoe UI" w:hAnsi="Segoe UI" w:cs="Segoe UI"/>
          <w:b w:val="0"/>
          <w:bCs w:val="0"/>
          <w:i w:val="0"/>
          <w:iCs w:val="0"/>
          <w:caps w:val="0"/>
          <w:color w:val="212121"/>
          <w:spacing w:val="0"/>
          <w:sz w:val="23"/>
          <w:szCs w:val="23"/>
          <w:lang w:val="zh-CN" w:eastAsia="zh-CN"/>
        </w:rPr>
        <w:t xml:space="preserve">FA2H </w:t>
      </w:r>
      <w:r>
        <w:rPr>
          <w:rStyle w:val="any"/>
          <w:rFonts w:ascii="PMingLiU" w:eastAsia="PMingLiU" w:hAnsi="PMingLiU" w:cs="PMingLiU"/>
          <w:b w:val="0"/>
          <w:bCs w:val="0"/>
          <w:i w:val="0"/>
          <w:iCs w:val="0"/>
          <w:caps w:val="0"/>
          <w:color w:val="212121"/>
          <w:spacing w:val="0"/>
          <w:sz w:val="23"/>
          <w:szCs w:val="23"/>
          <w:lang w:val="zh-CN" w:eastAsia="zh-CN"/>
        </w:rPr>
        <w:t>表达增加与</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患者的不良预后呈正相关。脂质组学分析发现，两种二氢鞘脂</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耗竭的转移性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细胞中增加。给予后，</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在实验性小鼠转移模型中损害了明显转移的形成。</w:t>
      </w:r>
      <w:r>
        <w:rPr>
          <w:rStyle w:val="any"/>
          <w:rFonts w:ascii="Segoe UI" w:eastAsia="Segoe UI" w:hAnsi="Segoe UI" w:cs="Segoe UI"/>
          <w:b w:val="0"/>
          <w:bCs w:val="0"/>
          <w:i w:val="0"/>
          <w:iCs w:val="0"/>
          <w:caps w:val="0"/>
          <w:color w:val="212121"/>
          <w:spacing w:val="0"/>
          <w:sz w:val="23"/>
          <w:szCs w:val="23"/>
          <w:lang w:val="zh-CN" w:eastAsia="zh-CN"/>
        </w:rPr>
        <w:t xml:space="preserve"> </w:t>
      </w:r>
      <w:r>
        <w:rPr>
          <w:rStyle w:val="any"/>
          <w:rFonts w:ascii="PMingLiU" w:eastAsia="PMingLiU" w:hAnsi="PMingLiU" w:cs="PMingLiU"/>
          <w:b w:val="0"/>
          <w:bCs w:val="0"/>
          <w:i w:val="0"/>
          <w:iCs w:val="0"/>
          <w:caps w:val="0"/>
          <w:color w:val="212121"/>
          <w:spacing w:val="0"/>
          <w:sz w:val="23"/>
          <w:szCs w:val="23"/>
          <w:lang w:val="zh-CN" w:eastAsia="zh-CN"/>
        </w:rPr>
        <w:t>然后，发现</w:t>
      </w:r>
      <w:r>
        <w:rPr>
          <w:rStyle w:val="any"/>
          <w:rFonts w:ascii="Segoe UI" w:eastAsia="Segoe UI" w:hAnsi="Segoe UI" w:cs="Segoe UI"/>
          <w:b w:val="0"/>
          <w:bCs w:val="0"/>
          <w:i w:val="0"/>
          <w:iCs w:val="0"/>
          <w:caps w:val="0"/>
          <w:color w:val="212121"/>
          <w:spacing w:val="0"/>
          <w:sz w:val="23"/>
          <w:szCs w:val="23"/>
          <w:lang w:val="zh-CN" w:eastAsia="zh-CN"/>
        </w:rPr>
        <w:t xml:space="preserve"> forkhead box </w:t>
      </w:r>
      <w:r>
        <w:rPr>
          <w:rStyle w:val="any"/>
          <w:rFonts w:ascii="PMingLiU" w:eastAsia="PMingLiU" w:hAnsi="PMingLiU" w:cs="PMingLiU"/>
          <w:b w:val="0"/>
          <w:bCs w:val="0"/>
          <w:i w:val="0"/>
          <w:iCs w:val="0"/>
          <w:caps w:val="0"/>
          <w:color w:val="212121"/>
          <w:spacing w:val="0"/>
          <w:sz w:val="23"/>
          <w:szCs w:val="23"/>
          <w:lang w:val="zh-CN" w:eastAsia="zh-CN"/>
        </w:rPr>
        <w:t>蛋白</w:t>
      </w:r>
      <w:r>
        <w:rPr>
          <w:rStyle w:val="any"/>
          <w:rFonts w:ascii="Segoe UI" w:eastAsia="Segoe UI" w:hAnsi="Segoe UI" w:cs="Segoe UI"/>
          <w:b w:val="0"/>
          <w:bCs w:val="0"/>
          <w:i w:val="0"/>
          <w:iCs w:val="0"/>
          <w:caps w:val="0"/>
          <w:color w:val="212121"/>
          <w:spacing w:val="0"/>
          <w:sz w:val="23"/>
          <w:szCs w:val="23"/>
          <w:lang w:val="zh-CN" w:eastAsia="zh-CN"/>
        </w:rPr>
        <w:t xml:space="preserve"> C2</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FOXC2</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在转移性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细胞群体和</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标本中共同上调，并且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的表达通过实验进一步证实是由</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转录诱导的，而</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本身则由肿瘤坏死因子</w:t>
      </w:r>
      <w:r>
        <w:rPr>
          <w:rStyle w:val="any"/>
          <w:rFonts w:ascii="Segoe UI" w:eastAsia="Segoe UI" w:hAnsi="Segoe UI" w:cs="Segoe UI"/>
          <w:b w:val="0"/>
          <w:bCs w:val="0"/>
          <w:i w:val="0"/>
          <w:iCs w:val="0"/>
          <w:caps w:val="0"/>
          <w:color w:val="212121"/>
          <w:spacing w:val="0"/>
          <w:sz w:val="23"/>
          <w:szCs w:val="23"/>
          <w:lang w:val="zh-CN" w:eastAsia="zh-CN"/>
        </w:rPr>
        <w:t>α</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）增强，</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是肿瘤微环境中关键的促转移细胞因子，在转移细胞中增强。总之，这些结果表明</w:t>
      </w:r>
      <w:r>
        <w:rPr>
          <w:rStyle w:val="any"/>
          <w:rFonts w:ascii="Segoe UI" w:eastAsia="Segoe UI" w:hAnsi="Segoe UI" w:cs="Segoe UI"/>
          <w:b w:val="0"/>
          <w:bCs w:val="0"/>
          <w:i w:val="0"/>
          <w:iCs w:val="0"/>
          <w:caps w:val="0"/>
          <w:color w:val="212121"/>
          <w:spacing w:val="0"/>
          <w:sz w:val="23"/>
          <w:szCs w:val="23"/>
          <w:lang w:val="zh-CN" w:eastAsia="zh-CN"/>
        </w:rPr>
        <w:t xml:space="preserve"> TNFα-FOXC2-FA2H </w:t>
      </w:r>
      <w:r>
        <w:rPr>
          <w:rStyle w:val="any"/>
          <w:rFonts w:ascii="PMingLiU" w:eastAsia="PMingLiU" w:hAnsi="PMingLiU" w:cs="PMingLiU"/>
          <w:b w:val="0"/>
          <w:bCs w:val="0"/>
          <w:i w:val="0"/>
          <w:iCs w:val="0"/>
          <w:caps w:val="0"/>
          <w:color w:val="212121"/>
          <w:spacing w:val="0"/>
          <w:sz w:val="23"/>
          <w:szCs w:val="23"/>
          <w:lang w:val="zh-CN" w:eastAsia="zh-CN"/>
        </w:rPr>
        <w:t>是促进转移的新型信号轴，其下游的二氢神经酰胺产物可能是干预转移的有希望的药物。</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58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20467" name=""/>
                    <pic:cNvPicPr>
                      <a:picLocks noChangeAspect="1"/>
                    </pic:cNvPicPr>
                  </pic:nvPicPr>
                  <pic:blipFill>
                    <a:blip xmlns:r="http://schemas.openxmlformats.org/officeDocument/2006/relationships" r:embed="rId6"/>
                    <a:stretch>
                      <a:fillRect/>
                    </a:stretch>
                  </pic:blipFill>
                  <pic:spPr>
                    <a:xfrm>
                      <a:off x="0" y="0"/>
                      <a:ext cx="5486400" cy="5358950"/>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6232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854" name=""/>
                    <pic:cNvPicPr>
                      <a:picLocks noChangeAspect="1"/>
                    </pic:cNvPicPr>
                  </pic:nvPicPr>
                  <pic:blipFill>
                    <a:blip xmlns:r="http://schemas.openxmlformats.org/officeDocument/2006/relationships" r:embed="rId7"/>
                    <a:stretch>
                      <a:fillRect/>
                    </a:stretch>
                  </pic:blipFill>
                  <pic:spPr>
                    <a:xfrm>
                      <a:off x="0" y="0"/>
                      <a:ext cx="5486400" cy="5623262"/>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8533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7279" name=""/>
                    <pic:cNvPicPr>
                      <a:picLocks noChangeAspect="1"/>
                    </pic:cNvPicPr>
                  </pic:nvPicPr>
                  <pic:blipFill>
                    <a:blip xmlns:r="http://schemas.openxmlformats.org/officeDocument/2006/relationships" r:embed="rId8"/>
                    <a:stretch>
                      <a:fillRect/>
                    </a:stretch>
                  </pic:blipFill>
                  <pic:spPr>
                    <a:xfrm>
                      <a:off x="0" y="0"/>
                      <a:ext cx="5486400" cy="585334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603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27928" name=""/>
                    <pic:cNvPicPr>
                      <a:picLocks noChangeAspect="1"/>
                    </pic:cNvPicPr>
                  </pic:nvPicPr>
                  <pic:blipFill>
                    <a:blip xmlns:r="http://schemas.openxmlformats.org/officeDocument/2006/relationships" r:embed="rId9"/>
                    <a:stretch>
                      <a:fillRect/>
                    </a:stretch>
                  </pic:blipFill>
                  <pic:spPr>
                    <a:xfrm>
                      <a:off x="0" y="0"/>
                      <a:ext cx="5486400" cy="536034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https://pubmed.ncbi.nlm.nih.gov/36274060/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bCs/>
          <w:i w:val="0"/>
          <w:iCs w:val="0"/>
          <w:caps w:val="0"/>
          <w:color w:val="212121"/>
          <w:spacing w:val="9"/>
          <w:sz w:val="18"/>
          <w:szCs w:val="18"/>
          <w:lang w:val="zh-CN" w:eastAsia="zh-CN"/>
        </w:rPr>
        <w:t>https://pubpeer.com/publications/84C82AD45DAC7F72CE7CC9E8DAE0D9#</w:t>
      </w: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本平台对于科研问题的探讨，始终保持严谨、深入、持续、开放和创新的态度。</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所有推文信源，均来源于</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w:t>
      </w:r>
      <w:r>
        <w:rPr>
          <w:rStyle w:val="any"/>
          <w:rFonts w:ascii="Consolas" w:eastAsia="Consolas" w:hAnsi="Consolas" w:cs="Consolas"/>
          <w:b/>
          <w:bCs/>
          <w:i w:val="0"/>
          <w:iCs w:val="0"/>
          <w:caps w:val="0"/>
          <w:color w:val="333333"/>
          <w:spacing w:val="0"/>
          <w:sz w:val="21"/>
          <w:szCs w:val="21"/>
          <w:lang w:val="zh-CN" w:eastAsia="zh-CN"/>
        </w:rPr>
        <w:t>For Better Science</w:t>
      </w:r>
      <w:r>
        <w:rPr>
          <w:rStyle w:val="any"/>
          <w:rFonts w:ascii="PMingLiU" w:eastAsia="PMingLiU" w:hAnsi="PMingLiU" w:cs="PMingLiU"/>
          <w:b/>
          <w:bCs/>
          <w:i w:val="0"/>
          <w:iCs w:val="0"/>
          <w:caps w:val="0"/>
          <w:color w:val="333333"/>
          <w:spacing w:val="0"/>
          <w:sz w:val="21"/>
          <w:szCs w:val="21"/>
          <w:lang w:val="zh-CN" w:eastAsia="zh-CN"/>
        </w:rPr>
        <w:t>等网站公开质疑。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我们从来没有、也永远不会主动查重论文并去</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上质疑。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我们尊重他人的研究成果和贡献，通过交流和合作，共同推动科研领域的进步和</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74&amp;idx=1&amp;sn=b3e821b8c2d0e8d0ddd670baee3e3a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