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荧光显微镜图像与先前其他论文数据相似，四川省人民医院的论文被撤稿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2025-04-27 15:38:33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6533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1210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23</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四川省人民医院口腔科的</w:t>
      </w:r>
      <w:r>
        <w:rPr>
          <w:rStyle w:val="any"/>
          <w:rFonts w:ascii="Times New Roman" w:eastAsia="Times New Roman" w:hAnsi="Times New Roman" w:cs="Times New Roman"/>
          <w:color w:val="C84D0C"/>
          <w:spacing w:val="9"/>
          <w:sz w:val="21"/>
          <w:szCs w:val="21"/>
        </w:rPr>
        <w:t>Chenglong Li</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spacing w:val="9"/>
          <w:sz w:val="21"/>
          <w:szCs w:val="21"/>
        </w:rPr>
        <w:t>Yandong Mu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牟雁东</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Grooved hydroxyapatite scaffold modulates mitochondria homeostasis and thus promotes osteogenesis in bone mesenchymal stromal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沟槽状羟基磷灰石支架调节线粒体稳态，从而促进骨髓间充质干细胞的成骨分化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本研究得到了青年科技创新团队专项计划（项目编号：</w:t>
      </w:r>
      <w:r>
        <w:rPr>
          <w:rStyle w:val="any"/>
          <w:rFonts w:ascii="Times New Roman" w:eastAsia="Times New Roman" w:hAnsi="Times New Roman" w:cs="Times New Roman"/>
          <w:spacing w:val="9"/>
          <w:sz w:val="21"/>
          <w:szCs w:val="21"/>
        </w:rPr>
        <w:t>2016TD0008</w:t>
      </w:r>
      <w:r>
        <w:rPr>
          <w:rStyle w:val="any"/>
          <w:rFonts w:ascii="PMingLiU" w:eastAsia="PMingLiU" w:hAnsi="PMingLiU" w:cs="PMingLiU"/>
          <w:spacing w:val="9"/>
          <w:sz w:val="21"/>
          <w:szCs w:val="21"/>
        </w:rPr>
        <w:t>）的支持。</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0152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83099" name=""/>
                    <pic:cNvPicPr>
                      <a:picLocks noChangeAspect="1"/>
                    </pic:cNvPicPr>
                  </pic:nvPicPr>
                  <pic:blipFill>
                    <a:blip xmlns:r="http://schemas.openxmlformats.org/officeDocument/2006/relationships" r:embed="rId8"/>
                    <a:stretch>
                      <a:fillRect/>
                    </a:stretch>
                  </pic:blipFill>
                  <pic:spPr>
                    <a:xfrm>
                      <a:off x="0" y="0"/>
                      <a:ext cx="5486400" cy="501528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627120"/>
            <wp:docPr id="100004" name="" descr="医院简介-医院概况-四川省医学科学院·四川省人民医院_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81942" name=""/>
                    <pic:cNvPicPr>
                      <a:picLocks noChangeAspect="1"/>
                    </pic:cNvPicPr>
                  </pic:nvPicPr>
                  <pic:blipFill>
                    <a:blip xmlns:r="http://schemas.openxmlformats.org/officeDocument/2006/relationships" r:embed="rId9"/>
                    <a:stretch>
                      <a:fillRect/>
                    </a:stretch>
                  </pic:blipFill>
                  <pic:spPr>
                    <a:xfrm>
                      <a:off x="0" y="0"/>
                      <a:ext cx="5486400" cy="3627120"/>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9012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图2与两篇早期无关论文图像面板交叉重叠。</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Three papers share some of the same images. There are also some internal overlapping areas.</w:t>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10.2147/dddt.s181798</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10.3892/mmr.2020.11352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10.3892/ol.2018.8767</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 </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383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2683" name=""/>
                    <pic:cNvPicPr>
                      <a:picLocks noChangeAspect="1"/>
                    </pic:cNvPicPr>
                  </pic:nvPicPr>
                  <pic:blipFill>
                    <a:blip xmlns:r="http://schemas.openxmlformats.org/officeDocument/2006/relationships" r:embed="rId10"/>
                    <a:stretch>
                      <a:fillRect/>
                    </a:stretch>
                  </pic:blipFill>
                  <pic:spPr>
                    <a:xfrm>
                      <a:off x="0" y="0"/>
                      <a:ext cx="5486400" cy="3383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2605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上述论文发表后，一位关注此事的读者向编辑指出，第2805页图2C中展示的某些荧光显微镜图像与先前不同研究机构的不同作者在其他论文中发表的数据惊人地相似。鉴于上述数据在提交给《</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》之前显然已经发表过，编辑决定撤回本论文。编辑曾要求作者就这些质疑作出解释，但编辑部未收到令人满意的答复。编辑对因此给读者造成的不便表示歉意。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2071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https://pubpeer.com/publications/161B5E832B9B86812FDDAA9547B10D#0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https://pubmed.ncbi.nlm.nih.gov/32700750/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https://www.spandidos-publications.com/10.3892/mmr.2025.13519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2&amp;idx=3&amp;sn=098187ed06e0e5467d7c9a23c359a0c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