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4890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060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81722"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22466"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5468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86907"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52184"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93902"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09593"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46805"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95024"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814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9597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