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53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0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平台上有人对已发表图片的完整性提出了质疑。具体而言，图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图像的突出显示部分似乎存在重复。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此次撤回已获得《实验生物学与医学》主编的批准。作者们已收到关于撤回的通知。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https://www.ebm-journal.org/journals/experimental-biology-and-medicine/articles/10.3389/ebm.2025.10605/full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03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86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1&amp;sn=fe3742e68838174becd0ed8b88fd8f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