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关注！第四军医大学一研究被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11:16:22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18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Glucose- and glutamine-dependent bioenergetics sensitize bone mechanoresponse after unloading by modulating osteocyte calcium dynamics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葡萄糖和谷氨酰胺依赖的生物能代谢通过调节骨细胞钙动态，增强卸载后骨的机械应答敏感性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Xiyu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Da Jing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4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089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280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18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2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455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46&amp;idx=1&amp;sn=d809e987ad4195839d7ddf964b2147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