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已被撤稿！中国矿业大学一研究被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13:47:28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14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https://pubpeer.com/publications/6369881F706255054B37D3063DC68A#1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Environmental science and pollution research international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Evaluation of toxicity potential of cobalt in wheat irrigated with wastewater: health risk implications for public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评估用废水灌溉的小麦中钴的毒性潜力：对公众健康的影响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Fu Chen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中国矿业大学环境与测绘学院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Yongjun Yang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中国矿业大学环境与测绘学院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944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86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976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27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https://pubpeer.com/publications/6369881F706255054B37D3063DC68A#1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88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06&amp;idx=1&amp;sn=464ebbba43872a7501769c5255150c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