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转载！国基金委科研学术不端案件通报（</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w:t>
        </w:r>
        <w:r>
          <w:rPr>
            <w:rStyle w:val="a"/>
            <w:rFonts w:ascii="Times New Roman" w:eastAsia="Times New Roman" w:hAnsi="Times New Roman" w:cs="Times New Roman"/>
            <w:b w:val="0"/>
            <w:bCs w:val="0"/>
            <w:spacing w:val="8"/>
          </w:rPr>
          <w:t>1</w:t>
        </w:r>
        <w:r>
          <w:rPr>
            <w:rStyle w:val="a"/>
            <w:rFonts w:ascii="PMingLiU" w:eastAsia="PMingLiU" w:hAnsi="PMingLiU" w:cs="PMingLiU"/>
            <w:b w:val="0"/>
            <w:bCs w:val="0"/>
            <w:spacing w:val="8"/>
          </w:rPr>
          <w:t>批）</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碰到撤稿不用慌</w:t>
      </w: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2025-04-28 17:27:42</w:t>
      </w:r>
      <w:r>
        <w:rPr>
          <w:rStyle w:val="richmediametalistem"/>
          <w:rFonts w:ascii="PMingLiU" w:eastAsia="PMingLiU" w:hAnsi="PMingLiU" w:cs="PMingLiU"/>
          <w:color w:val="A5A5A5"/>
          <w:spacing w:val="8"/>
          <w:sz w:val="23"/>
          <w:szCs w:val="23"/>
        </w:rPr>
        <w:t>湖北</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0"/>
        <w:jc w:val="center"/>
        <w:rPr>
          <w:rStyle w:val="any"/>
          <w:rFonts w:ascii="Calibri" w:eastAsia="Calibri" w:hAnsi="Calibri" w:cs="Calibri"/>
          <w:b w:val="0"/>
          <w:bCs w:val="0"/>
          <w:spacing w:val="8"/>
        </w:rPr>
      </w:pPr>
      <w:r>
        <w:rPr>
          <w:rStyle w:val="any"/>
          <w:rFonts w:ascii="宋体" w:eastAsia="宋体" w:hAnsi="宋体" w:cs="宋体"/>
          <w:b/>
          <w:bCs/>
          <w:caps w:val="0"/>
          <w:smallCaps w:val="0"/>
          <w:spacing w:val="8"/>
          <w:sz w:val="30"/>
          <w:szCs w:val="30"/>
        </w:rPr>
        <w:t>转载！</w:t>
      </w:r>
      <w:r>
        <w:rPr>
          <w:rStyle w:val="any"/>
          <w:rFonts w:ascii="宋体" w:eastAsia="宋体" w:hAnsi="宋体" w:cs="宋体"/>
          <w:b/>
          <w:bCs/>
          <w:caps w:val="0"/>
          <w:smallCaps w:val="0"/>
          <w:spacing w:val="8"/>
          <w:sz w:val="30"/>
          <w:szCs w:val="30"/>
        </w:rPr>
        <w:t>国基金委科研学术不端</w:t>
      </w:r>
      <w:r>
        <w:rPr>
          <w:rStyle w:val="any"/>
          <w:rFonts w:ascii="宋体" w:eastAsia="宋体" w:hAnsi="宋体" w:cs="宋体"/>
          <w:b/>
          <w:bCs/>
          <w:caps w:val="0"/>
          <w:smallCaps w:val="0"/>
          <w:spacing w:val="8"/>
          <w:sz w:val="30"/>
          <w:szCs w:val="30"/>
        </w:rPr>
        <w:t>案件通报（2025年第1批）</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80" w:firstLine="0"/>
        <w:jc w:val="left"/>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057262"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80" w:firstLine="0"/>
        <w:jc w:val="center"/>
        <w:rPr>
          <w:rStyle w:val="any"/>
          <w:rFonts w:ascii="Calibri" w:eastAsia="Calibri" w:hAnsi="Calibri" w:cs="Calibri"/>
          <w:b w:val="0"/>
          <w:bCs w:val="0"/>
          <w:spacing w:val="8"/>
        </w:rPr>
      </w:pPr>
      <w:r>
        <w:rPr>
          <w:rStyle w:val="any"/>
          <w:rFonts w:ascii="宋体" w:eastAsia="宋体" w:hAnsi="宋体" w:cs="宋体"/>
          <w:b/>
          <w:bCs/>
          <w:caps w:val="0"/>
          <w:smallCaps w:val="0"/>
          <w:spacing w:val="8"/>
        </w:rPr>
        <w:t>通报</w:t>
      </w:r>
      <w:r>
        <w:rPr>
          <w:rStyle w:val="any"/>
          <w:b/>
          <w:bCs/>
          <w:caps w:val="0"/>
          <w:smallCaps w:val="0"/>
          <w:spacing w:val="8"/>
        </w:rPr>
        <w:t>1</w:t>
      </w:r>
      <w:r>
        <w:rPr>
          <w:rStyle w:val="any"/>
          <w:rFonts w:ascii="PMingLiU" w:eastAsia="PMingLiU" w:hAnsi="PMingLiU" w:cs="PMingLiU"/>
          <w:b/>
          <w:bCs/>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国家自然科学基金委员会监督委员会对</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（时为上海某高校特聘主任医师）涉嫌学术不端开展了调查。</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经查，</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作为基金项目评审专家，在2023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国家自然科学基金委员会监督委员会六届五次会议审议，由国家自然科学基金委员会2024年第18次委务会议审定，决定依据《国家自然科学基金项目科研不端行为调查处理办法》第五十条第一项、第五项，第四十四条第四项，第四十八条第三款，第三十六条第六项，《科研失信行为调查处理规则》第三十五条第七项，永久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国家自然科学基金项目评审专家资格（2024年11月12日起），永久取消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国家自然科学基金项目申请和参与申请资格（2024年11月12日起），给予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通报批评。</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center"/>
        <w:rPr>
          <w:rStyle w:val="any"/>
          <w:rFonts w:ascii="Calibri" w:eastAsia="Calibri" w:hAnsi="Calibri" w:cs="Calibri"/>
          <w:b w:val="0"/>
          <w:bCs w:val="0"/>
          <w:spacing w:val="8"/>
        </w:rPr>
      </w:pPr>
      <w:r>
        <w:rPr>
          <w:rStyle w:val="any"/>
          <w:rFonts w:ascii="宋体" w:eastAsia="宋体" w:hAnsi="宋体" w:cs="宋体"/>
          <w:b/>
          <w:bCs/>
          <w:caps w:val="0"/>
          <w:smallCaps w:val="0"/>
          <w:spacing w:val="8"/>
        </w:rPr>
        <w:t>通报</w:t>
      </w:r>
      <w:r>
        <w:rPr>
          <w:rStyle w:val="any"/>
          <w:b/>
          <w:bCs/>
          <w:caps w:val="0"/>
          <w:smallCaps w:val="0"/>
          <w:spacing w:val="8"/>
        </w:rPr>
        <w:t>2</w:t>
      </w:r>
      <w:r>
        <w:rPr>
          <w:rStyle w:val="any"/>
          <w:rFonts w:ascii="PMingLiU" w:eastAsia="PMingLiU" w:hAnsi="PMingLiU" w:cs="PMingLiU"/>
          <w:b/>
          <w:bCs/>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国家自然科学基金委员会监督委员会对浙江某高校</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涉嫌学术不端开展了调查。</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经查，</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在2023年国家自然科学基金项目通讯评审期间存在违规打探评审信息问题。</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经国家自然科学基金委员会监督委员会六届五次会议审议，由国家自然科学基金委员会2024年第18次委务会议审定，决定依据《国家自然科学基金项目科研不端行为调查处理办法》第四十四条第一项和第二项，撤销</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信号轴在胰腺癌发生发展中的作用及其机制研究”（批准号</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），追回已拨资金，取消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国家自然科学基金项目申请和参与申请资格5年（2024年11月12日至2029年11月11日），给予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通报批评。</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center"/>
        <w:rPr>
          <w:rStyle w:val="any"/>
          <w:rFonts w:ascii="Calibri" w:eastAsia="Calibri" w:hAnsi="Calibri" w:cs="Calibri"/>
          <w:b w:val="0"/>
          <w:bCs w:val="0"/>
          <w:spacing w:val="8"/>
        </w:rPr>
      </w:pPr>
      <w:r>
        <w:rPr>
          <w:rStyle w:val="any"/>
          <w:rFonts w:ascii="宋体" w:eastAsia="宋体" w:hAnsi="宋体" w:cs="宋体"/>
          <w:b/>
          <w:bCs/>
          <w:caps w:val="0"/>
          <w:smallCaps w:val="0"/>
          <w:spacing w:val="8"/>
        </w:rPr>
        <w:t>通报</w:t>
      </w:r>
      <w:r>
        <w:rPr>
          <w:rStyle w:val="any"/>
          <w:b/>
          <w:bCs/>
          <w:caps w:val="0"/>
          <w:smallCaps w:val="0"/>
          <w:spacing w:val="8"/>
        </w:rPr>
        <w:t>3</w:t>
      </w:r>
      <w:r>
        <w:rPr>
          <w:rStyle w:val="any"/>
          <w:rFonts w:ascii="PMingLiU" w:eastAsia="PMingLiU" w:hAnsi="PMingLiU" w:cs="PMingLiU"/>
          <w:b/>
          <w:bCs/>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国家自然科学基金委员会监督委员会对山东某高校附属医院</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和山东某医院</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等发表的论文“</w:t>
      </w:r>
      <w:r>
        <w:rPr>
          <w:rStyle w:val="any"/>
          <w:b w:val="0"/>
          <w:bCs w:val="0"/>
          <w:caps w:val="0"/>
          <w:smallCaps w:val="0"/>
          <w:color w:val="FF0000"/>
          <w:spacing w:val="8"/>
        </w:rPr>
        <w:t>***,</w:t>
      </w:r>
      <w:r>
        <w:rPr>
          <w:rStyle w:val="any"/>
          <w:b w:val="0"/>
          <w:bCs w:val="0"/>
          <w:caps w:val="0"/>
          <w:smallCaps w:val="0"/>
          <w:color w:val="FF0000"/>
          <w:spacing w:val="8"/>
        </w:rPr>
        <w:t>***</w:t>
      </w:r>
      <w:r>
        <w:rPr>
          <w:rStyle w:val="any"/>
          <w:b w:val="0"/>
          <w:bCs w:val="0"/>
          <w:caps w:val="0"/>
          <w:smallCaps w:val="0"/>
          <w:spacing w:val="8"/>
        </w:rPr>
        <w:t>*, et al. A</w:t>
      </w:r>
      <w:r>
        <w:rPr>
          <w:rStyle w:val="any"/>
          <w:b w:val="0"/>
          <w:bCs w:val="0"/>
          <w:caps w:val="0"/>
          <w:smallCaps w:val="0"/>
          <w:color w:val="FF0000"/>
          <w:spacing w:val="8"/>
        </w:rPr>
        <w:t>***</w:t>
      </w:r>
      <w:r>
        <w:rPr>
          <w:rStyle w:val="any"/>
          <w:b w:val="0"/>
          <w:bCs w:val="0"/>
          <w:caps w:val="0"/>
          <w:smallCaps w:val="0"/>
          <w:spacing w:val="8"/>
        </w:rPr>
        <w:t> and highly sensitive approach for the assessment of coronary collateral circulation by 192-slice third-generation dual-source computed tomography. Medicine, 2019, 98(38):p e17014.”</w:t>
      </w:r>
      <w:r>
        <w:rPr>
          <w:rStyle w:val="any"/>
          <w:rFonts w:ascii="PMingLiU" w:eastAsia="PMingLiU" w:hAnsi="PMingLiU" w:cs="PMingLiU"/>
          <w:b w:val="0"/>
          <w:bCs w:val="0"/>
          <w:caps w:val="0"/>
          <w:smallCaps w:val="0"/>
          <w:spacing w:val="8"/>
        </w:rPr>
        <w:t>（标注基金号</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）涉嫌学术不端开展了调查。</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经查，涉事论文通讯作者</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和第一作者</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存在买卖论文、委托他人投稿、擅自标注他人科学基金项目等问题。</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国家自然科学基金委员会监督委员会六届五次会议审议，由国家自然科学基金委员会2024年第18次委务会议审定，决定依据《国家自然科学基金项目科研不端行为调查处理办法》第四十七条，第四十二条第二项、第三项，第四十三条第六项，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国家自然科学基金项目申请和参与申请资格5年（2024年11月12日至2029年11月11日），给予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通报批评；决定依据《国家自然科学基金项目科研不端行为调查处理办法》第四十七条，第四十二条第二项、第三项，第四十三条第一项、第六项，取消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国家自然科学基金项目申请和参与申请资格5年（2024年11月12日至2029年11月11日），给予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通报批评。</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center"/>
        <w:rPr>
          <w:rStyle w:val="any"/>
          <w:rFonts w:ascii="Calibri" w:eastAsia="Calibri" w:hAnsi="Calibri" w:cs="Calibri"/>
          <w:b w:val="0"/>
          <w:bCs w:val="0"/>
          <w:spacing w:val="8"/>
        </w:rPr>
      </w:pPr>
      <w:r>
        <w:rPr>
          <w:rStyle w:val="any"/>
          <w:rFonts w:ascii="宋体" w:eastAsia="宋体" w:hAnsi="宋体" w:cs="宋体"/>
          <w:b/>
          <w:bCs/>
          <w:caps w:val="0"/>
          <w:smallCaps w:val="0"/>
          <w:spacing w:val="8"/>
        </w:rPr>
        <w:t>通报</w:t>
      </w:r>
      <w:r>
        <w:rPr>
          <w:rStyle w:val="any"/>
          <w:b/>
          <w:bCs/>
          <w:caps w:val="0"/>
          <w:smallCaps w:val="0"/>
          <w:spacing w:val="8"/>
        </w:rPr>
        <w:t>4</w:t>
      </w:r>
      <w:r>
        <w:rPr>
          <w:rStyle w:val="any"/>
          <w:rFonts w:ascii="PMingLiU" w:eastAsia="PMingLiU" w:hAnsi="PMingLiU" w:cs="PMingLiU"/>
          <w:b/>
          <w:bCs/>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国家自然科学基金委员会监督委员会对江西某高校</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等发表的论文“</w:t>
      </w:r>
      <w:r>
        <w:rPr>
          <w:rStyle w:val="any"/>
          <w:b w:val="0"/>
          <w:bCs w:val="0"/>
          <w:caps w:val="0"/>
          <w:smallCaps w:val="0"/>
          <w:color w:val="FF0000"/>
          <w:spacing w:val="8"/>
        </w:rPr>
        <w:t>***</w:t>
      </w:r>
      <w:r>
        <w:rPr>
          <w:rStyle w:val="any"/>
          <w:b w:val="0"/>
          <w:bCs w:val="0"/>
          <w:caps w:val="0"/>
          <w:smallCaps w:val="0"/>
          <w:color w:val="000000"/>
          <w:spacing w:val="0"/>
          <w:sz w:val="20"/>
          <w:szCs w:val="20"/>
          <w:shd w:val="clear" w:color="auto" w:fill="FFFFFF"/>
          <w:vertAlign w:val="superscript"/>
        </w:rPr>
        <w:t>#</w:t>
      </w:r>
      <w:r>
        <w:rPr>
          <w:rStyle w:val="any"/>
          <w:b w:val="0"/>
          <w:bCs w:val="0"/>
          <w:caps w:val="0"/>
          <w:smallCaps w:val="0"/>
          <w:spacing w:val="8"/>
        </w:rPr>
        <w:t>, et al. Effect of C-phycocyanin on HDAC3 and </w:t>
      </w:r>
      <w:r>
        <w:rPr>
          <w:rStyle w:val="any"/>
          <w:b w:val="0"/>
          <w:bCs w:val="0"/>
          <w:caps w:val="0"/>
          <w:smallCaps w:val="0"/>
          <w:color w:val="FF0000"/>
          <w:spacing w:val="8"/>
        </w:rPr>
        <w:t>***</w:t>
      </w:r>
      <w:r>
        <w:rPr>
          <w:rStyle w:val="any"/>
          <w:b w:val="0"/>
          <w:bCs w:val="0"/>
          <w:caps w:val="0"/>
          <w:smallCaps w:val="0"/>
          <w:spacing w:val="8"/>
        </w:rPr>
        <w:t> in Alzheimer’s disease. Translational Neuroscience, 2020, 11(1): 161-172.”</w:t>
      </w:r>
      <w:r>
        <w:rPr>
          <w:rStyle w:val="any"/>
          <w:rFonts w:ascii="PMingLiU" w:eastAsia="PMingLiU" w:hAnsi="PMingLiU" w:cs="PMingLiU"/>
          <w:b w:val="0"/>
          <w:bCs w:val="0"/>
          <w:caps w:val="0"/>
          <w:smallCaps w:val="0"/>
          <w:spacing w:val="8"/>
        </w:rPr>
        <w:t>涉嫌学术不端开展了调查。</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经查，涉事论文存在抄袭他人实验图片问题，共同第一作者</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应对此问题负主要责任；此外，</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该论文列入基金项目申请书（未获资助），</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还应对此负责。</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经国家自然科学基金委员会监督委员会六届五次会议审议，由国家自然科学基金委员会2024年第18次委务会议审定，决定依据《国家自然科学基金项目科研不端行为调查处理办法》第四十七条、第四十条，取消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国家自然科学基金项目申请和参与申请资格3年（2024年11月12日至2027年11月11日），给予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通报批评。</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center"/>
        <w:rPr>
          <w:rStyle w:val="any"/>
          <w:rFonts w:ascii="Calibri" w:eastAsia="Calibri" w:hAnsi="Calibri" w:cs="Calibri"/>
          <w:b w:val="0"/>
          <w:bCs w:val="0"/>
          <w:spacing w:val="8"/>
        </w:rPr>
      </w:pPr>
      <w:r>
        <w:rPr>
          <w:rStyle w:val="any"/>
          <w:rFonts w:ascii="宋体" w:eastAsia="宋体" w:hAnsi="宋体" w:cs="宋体"/>
          <w:b/>
          <w:bCs/>
          <w:caps w:val="0"/>
          <w:smallCaps w:val="0"/>
          <w:spacing w:val="8"/>
        </w:rPr>
        <w:t>通报</w:t>
      </w:r>
      <w:r>
        <w:rPr>
          <w:rStyle w:val="any"/>
          <w:b/>
          <w:bCs/>
          <w:caps w:val="0"/>
          <w:smallCaps w:val="0"/>
          <w:spacing w:val="8"/>
        </w:rPr>
        <w:t>5</w:t>
      </w:r>
      <w:r>
        <w:rPr>
          <w:rStyle w:val="any"/>
          <w:rFonts w:ascii="PMingLiU" w:eastAsia="PMingLiU" w:hAnsi="PMingLiU" w:cs="PMingLiU"/>
          <w:b/>
          <w:bCs/>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国家自然科学基金委员会监督委员会对辽宁某高校</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等发表的论文涉嫌学术不端问题开展了调查。涉及论文如下：</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论文1：</w:t>
      </w:r>
      <w:r>
        <w:rPr>
          <w:rStyle w:val="any"/>
          <w:b w:val="0"/>
          <w:bCs w:val="0"/>
          <w:caps w:val="0"/>
          <w:smallCaps w:val="0"/>
          <w:color w:val="FF0000"/>
          <w:spacing w:val="8"/>
        </w:rPr>
        <w:t>***</w:t>
      </w:r>
      <w:r>
        <w:rPr>
          <w:rStyle w:val="any"/>
          <w:b w:val="0"/>
          <w:bCs w:val="0"/>
          <w:caps w:val="0"/>
          <w:smallCaps w:val="0"/>
          <w:spacing w:val="8"/>
        </w:rPr>
        <w:t>, et al. The </w:t>
      </w:r>
      <w:r>
        <w:rPr>
          <w:rStyle w:val="any"/>
          <w:b w:val="0"/>
          <w:bCs w:val="0"/>
          <w:caps w:val="0"/>
          <w:smallCaps w:val="0"/>
          <w:color w:val="FF0000"/>
          <w:spacing w:val="8"/>
        </w:rPr>
        <w:t>***</w:t>
      </w:r>
      <w:r>
        <w:rPr>
          <w:rStyle w:val="any"/>
          <w:b w:val="0"/>
          <w:bCs w:val="0"/>
          <w:caps w:val="0"/>
          <w:smallCaps w:val="0"/>
          <w:spacing w:val="8"/>
        </w:rPr>
        <w:t>of self-floating </w:t>
      </w:r>
      <w:r>
        <w:rPr>
          <w:rStyle w:val="any"/>
          <w:b w:val="0"/>
          <w:bCs w:val="0"/>
          <w:caps w:val="0"/>
          <w:smallCaps w:val="0"/>
          <w:color w:val="000000"/>
          <w:spacing w:val="0"/>
          <w:shd w:val="clear" w:color="auto" w:fill="FFFFFF"/>
        </w:rPr>
        <w:t>Ti</w:t>
      </w:r>
      <w:r>
        <w:rPr>
          <w:rStyle w:val="any"/>
          <w:b w:val="0"/>
          <w:bCs w:val="0"/>
          <w:caps w:val="0"/>
          <w:smallCaps w:val="0"/>
          <w:color w:val="000000"/>
          <w:spacing w:val="0"/>
          <w:sz w:val="20"/>
          <w:szCs w:val="20"/>
          <w:shd w:val="clear" w:color="auto" w:fill="FFFFFF"/>
          <w:vertAlign w:val="superscript"/>
        </w:rPr>
        <w:t>3+</w:t>
      </w:r>
      <w:r>
        <w:rPr>
          <w:rStyle w:val="any"/>
          <w:b w:val="0"/>
          <w:bCs w:val="0"/>
          <w:caps w:val="0"/>
          <w:smallCaps w:val="0"/>
          <w:color w:val="000000"/>
          <w:spacing w:val="0"/>
          <w:shd w:val="clear" w:color="auto" w:fill="FFFFFF"/>
        </w:rPr>
        <w:t>/N</w:t>
      </w:r>
      <w:r>
        <w:rPr>
          <w:rStyle w:val="any"/>
          <w:b w:val="0"/>
          <w:bCs w:val="0"/>
          <w:caps w:val="0"/>
          <w:smallCaps w:val="0"/>
          <w:spacing w:val="8"/>
        </w:rPr>
        <w:t> co-doped </w:t>
      </w:r>
      <w:r>
        <w:rPr>
          <w:rStyle w:val="any"/>
          <w:b w:val="0"/>
          <w:bCs w:val="0"/>
          <w:caps w:val="0"/>
          <w:smallCaps w:val="0"/>
          <w:color w:val="000000"/>
          <w:spacing w:val="0"/>
          <w:shd w:val="clear" w:color="auto" w:fill="FFFFFF"/>
        </w:rPr>
        <w:t>TiO</w:t>
      </w:r>
      <w:r>
        <w:rPr>
          <w:rStyle w:val="any"/>
          <w:b w:val="0"/>
          <w:bCs w:val="0"/>
          <w:caps w:val="0"/>
          <w:smallCaps w:val="0"/>
          <w:color w:val="000000"/>
          <w:spacing w:val="0"/>
          <w:sz w:val="20"/>
          <w:szCs w:val="20"/>
          <w:shd w:val="clear" w:color="auto" w:fill="FFFFFF"/>
          <w:vertAlign w:val="subscript"/>
        </w:rPr>
        <w:t>2</w:t>
      </w:r>
      <w:r>
        <w:rPr>
          <w:rStyle w:val="any"/>
          <w:b w:val="0"/>
          <w:bCs w:val="0"/>
          <w:caps w:val="0"/>
          <w:smallCaps w:val="0"/>
          <w:spacing w:val="8"/>
        </w:rPr>
        <w:t>/diatomite granule catalyst with enhanced photocatalytic performance under visible light irradiation. Applied Surface Science. 2019, 467-468, 514-525.</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论文2：</w:t>
      </w:r>
      <w:r>
        <w:rPr>
          <w:rStyle w:val="any"/>
          <w:b w:val="0"/>
          <w:bCs w:val="0"/>
          <w:caps w:val="0"/>
          <w:smallCaps w:val="0"/>
          <w:color w:val="FF0000"/>
          <w:spacing w:val="8"/>
        </w:rPr>
        <w:t>***</w:t>
      </w:r>
      <w:r>
        <w:rPr>
          <w:rStyle w:val="any"/>
          <w:b w:val="0"/>
          <w:bCs w:val="0"/>
          <w:caps w:val="0"/>
          <w:smallCaps w:val="0"/>
          <w:spacing w:val="8"/>
        </w:rPr>
        <w:t>, et al. The </w:t>
      </w:r>
      <w:r>
        <w:rPr>
          <w:rStyle w:val="any"/>
          <w:b w:val="0"/>
          <w:bCs w:val="0"/>
          <w:caps w:val="0"/>
          <w:smallCaps w:val="0"/>
          <w:color w:val="FF0000"/>
          <w:spacing w:val="8"/>
        </w:rPr>
        <w:t>***</w:t>
      </w:r>
      <w:r>
        <w:rPr>
          <w:rStyle w:val="any"/>
          <w:b w:val="0"/>
          <w:bCs w:val="0"/>
          <w:caps w:val="0"/>
          <w:smallCaps w:val="0"/>
          <w:spacing w:val="8"/>
        </w:rPr>
        <w:t> of floating Fe/N co-doped titania/diatomite granule catalyst with enhanced photocatalytic efficiency under visible light irradiation. Advanced Powder Technology, 2019, 30(1): 126-135.</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论文3：</w:t>
      </w:r>
      <w:r>
        <w:rPr>
          <w:rStyle w:val="any"/>
          <w:b w:val="0"/>
          <w:bCs w:val="0"/>
          <w:caps w:val="0"/>
          <w:smallCaps w:val="0"/>
          <w:color w:val="FF0000"/>
          <w:spacing w:val="8"/>
        </w:rPr>
        <w:t>***</w:t>
      </w:r>
      <w:r>
        <w:rPr>
          <w:rStyle w:val="any"/>
          <w:b w:val="0"/>
          <w:bCs w:val="0"/>
          <w:caps w:val="0"/>
          <w:smallCaps w:val="0"/>
          <w:spacing w:val="8"/>
        </w:rPr>
        <w:t>, et al. </w:t>
      </w:r>
      <w:r>
        <w:rPr>
          <w:rStyle w:val="any"/>
          <w:b w:val="0"/>
          <w:bCs w:val="0"/>
          <w:caps w:val="0"/>
          <w:smallCaps w:val="0"/>
          <w:color w:val="FF0000"/>
          <w:spacing w:val="8"/>
        </w:rPr>
        <w:t>***</w:t>
      </w:r>
      <w:r>
        <w:rPr>
          <w:rStyle w:val="any"/>
          <w:b w:val="0"/>
          <w:bCs w:val="0"/>
          <w:caps w:val="0"/>
          <w:smallCaps w:val="0"/>
          <w:spacing w:val="8"/>
        </w:rPr>
        <w:t> Cu/N co-doped </w:t>
      </w:r>
      <w:r>
        <w:rPr>
          <w:rStyle w:val="any"/>
          <w:b w:val="0"/>
          <w:bCs w:val="0"/>
          <w:caps w:val="0"/>
          <w:smallCaps w:val="0"/>
          <w:color w:val="000000"/>
          <w:spacing w:val="0"/>
          <w:shd w:val="clear" w:color="auto" w:fill="FFFFFF"/>
        </w:rPr>
        <w:t>TiO</w:t>
      </w:r>
      <w:r>
        <w:rPr>
          <w:rStyle w:val="any"/>
          <w:b w:val="0"/>
          <w:bCs w:val="0"/>
          <w:caps w:val="0"/>
          <w:smallCaps w:val="0"/>
          <w:color w:val="000000"/>
          <w:spacing w:val="0"/>
          <w:sz w:val="20"/>
          <w:szCs w:val="20"/>
          <w:shd w:val="clear" w:color="auto" w:fill="FFFFFF"/>
          <w:vertAlign w:val="subscript"/>
        </w:rPr>
        <w:t>2</w:t>
      </w:r>
      <w:r>
        <w:rPr>
          <w:rStyle w:val="any"/>
          <w:b w:val="0"/>
          <w:bCs w:val="0"/>
          <w:caps w:val="0"/>
          <w:smallCaps w:val="0"/>
          <w:spacing w:val="8"/>
        </w:rPr>
        <w:t>/diatomite granule composite with enhanced visible-light-responsive photoactivity and reusability. Journal of Chemical Technology and Biotechnology, 2019, 94(4): 1210-1219.</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论文4：</w:t>
      </w:r>
      <w:r>
        <w:rPr>
          <w:rStyle w:val="any"/>
          <w:b w:val="0"/>
          <w:bCs w:val="0"/>
          <w:caps w:val="0"/>
          <w:smallCaps w:val="0"/>
          <w:color w:val="FF0000"/>
          <w:spacing w:val="8"/>
        </w:rPr>
        <w:t>***</w:t>
      </w:r>
      <w:r>
        <w:rPr>
          <w:rStyle w:val="any"/>
          <w:b w:val="0"/>
          <w:bCs w:val="0"/>
          <w:caps w:val="0"/>
          <w:smallCaps w:val="0"/>
          <w:spacing w:val="8"/>
        </w:rPr>
        <w:t>, et al.</w:t>
      </w:r>
      <w:r>
        <w:rPr>
          <w:rStyle w:val="any"/>
          <w:b w:val="0"/>
          <w:bCs w:val="0"/>
          <w:caps w:val="0"/>
          <w:smallCaps w:val="0"/>
          <w:color w:val="FF0000"/>
          <w:spacing w:val="8"/>
        </w:rPr>
        <w:t>***</w:t>
      </w:r>
      <w:r>
        <w:rPr>
          <w:rStyle w:val="any"/>
          <w:b w:val="0"/>
          <w:bCs w:val="0"/>
          <w:caps w:val="0"/>
          <w:smallCaps w:val="0"/>
          <w:spacing w:val="8"/>
        </w:rPr>
        <w:t> elimination of oxytetracycline and Escherichia coli using magnetic La-doped </w:t>
      </w:r>
      <w:r>
        <w:rPr>
          <w:rStyle w:val="any"/>
          <w:b w:val="0"/>
          <w:bCs w:val="0"/>
          <w:caps w:val="0"/>
          <w:smallCaps w:val="0"/>
          <w:color w:val="000000"/>
          <w:spacing w:val="0"/>
          <w:shd w:val="clear" w:color="auto" w:fill="FFFFFF"/>
        </w:rPr>
        <w:t>TiO</w:t>
      </w:r>
      <w:r>
        <w:rPr>
          <w:rStyle w:val="any"/>
          <w:b w:val="0"/>
          <w:bCs w:val="0"/>
          <w:caps w:val="0"/>
          <w:smallCaps w:val="0"/>
          <w:color w:val="000000"/>
          <w:spacing w:val="0"/>
          <w:sz w:val="20"/>
          <w:szCs w:val="20"/>
          <w:shd w:val="clear" w:color="auto" w:fill="FFFFFF"/>
          <w:vertAlign w:val="subscript"/>
        </w:rPr>
        <w:t>2</w:t>
      </w:r>
      <w:r>
        <w:rPr>
          <w:rStyle w:val="any"/>
          <w:b w:val="0"/>
          <w:bCs w:val="0"/>
          <w:caps w:val="0"/>
          <w:smallCaps w:val="0"/>
          <w:spacing w:val="8"/>
        </w:rPr>
        <w:t>/copper ferrite/diatomite composite. Environmental Science and Pollution Research, 2019, 26, 26593-26604.</w:t>
      </w:r>
      <w:r>
        <w:rPr>
          <w:rStyle w:val="any"/>
          <w:rFonts w:ascii="PMingLiU" w:eastAsia="PMingLiU" w:hAnsi="PMingLiU" w:cs="PMingLiU"/>
          <w:b w:val="0"/>
          <w:bCs w:val="0"/>
          <w:caps w:val="0"/>
          <w:smallCaps w:val="0"/>
          <w:spacing w:val="8"/>
        </w:rPr>
        <w:t>（标注基金号</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论文5：</w:t>
      </w:r>
      <w:r>
        <w:rPr>
          <w:rStyle w:val="any"/>
          <w:b w:val="0"/>
          <w:bCs w:val="0"/>
          <w:caps w:val="0"/>
          <w:smallCaps w:val="0"/>
          <w:color w:val="FF0000"/>
          <w:spacing w:val="8"/>
        </w:rPr>
        <w:t>***</w:t>
      </w:r>
      <w:r>
        <w:rPr>
          <w:rStyle w:val="any"/>
          <w:b w:val="0"/>
          <w:bCs w:val="0"/>
          <w:caps w:val="0"/>
          <w:smallCaps w:val="0"/>
          <w:spacing w:val="8"/>
        </w:rPr>
        <w:t>, et al. Visible-light-induced photocatalytic mitigation of ibuprofen using magnetic black </w:t>
      </w:r>
      <w:r>
        <w:rPr>
          <w:rStyle w:val="any"/>
          <w:b w:val="0"/>
          <w:bCs w:val="0"/>
          <w:caps w:val="0"/>
          <w:smallCaps w:val="0"/>
          <w:color w:val="000000"/>
          <w:spacing w:val="0"/>
          <w:shd w:val="clear" w:color="auto" w:fill="FFFFFF"/>
        </w:rPr>
        <w:t>TiO</w:t>
      </w:r>
      <w:r>
        <w:rPr>
          <w:rStyle w:val="any"/>
          <w:b w:val="0"/>
          <w:bCs w:val="0"/>
          <w:caps w:val="0"/>
          <w:smallCaps w:val="0"/>
          <w:color w:val="000000"/>
          <w:spacing w:val="0"/>
          <w:sz w:val="20"/>
          <w:szCs w:val="20"/>
          <w:shd w:val="clear" w:color="auto" w:fill="FFFFFF"/>
          <w:vertAlign w:val="subscript"/>
        </w:rPr>
        <w:t>2-x</w:t>
      </w:r>
      <w:r>
        <w:rPr>
          <w:rStyle w:val="any"/>
          <w:b w:val="0"/>
          <w:bCs w:val="0"/>
          <w:caps w:val="0"/>
          <w:smallCaps w:val="0"/>
          <w:color w:val="000000"/>
          <w:spacing w:val="0"/>
          <w:shd w:val="clear" w:color="auto" w:fill="FFFFFF"/>
        </w:rPr>
        <w:t>/CaFe</w:t>
      </w:r>
      <w:r>
        <w:rPr>
          <w:rStyle w:val="any"/>
          <w:b w:val="0"/>
          <w:bCs w:val="0"/>
          <w:caps w:val="0"/>
          <w:smallCaps w:val="0"/>
          <w:color w:val="000000"/>
          <w:spacing w:val="0"/>
          <w:sz w:val="20"/>
          <w:szCs w:val="20"/>
          <w:shd w:val="clear" w:color="auto" w:fill="FFFFFF"/>
          <w:vertAlign w:val="subscript"/>
        </w:rPr>
        <w:t>2</w:t>
      </w:r>
      <w:r>
        <w:rPr>
          <w:rStyle w:val="any"/>
          <w:b w:val="0"/>
          <w:bCs w:val="0"/>
          <w:caps w:val="0"/>
          <w:smallCaps w:val="0"/>
          <w:color w:val="000000"/>
          <w:spacing w:val="0"/>
          <w:shd w:val="clear" w:color="auto" w:fill="FFFFFF"/>
        </w:rPr>
        <w:t>O</w:t>
      </w:r>
      <w:r>
        <w:rPr>
          <w:rStyle w:val="any"/>
          <w:b w:val="0"/>
          <w:bCs w:val="0"/>
          <w:caps w:val="0"/>
          <w:smallCaps w:val="0"/>
          <w:color w:val="000000"/>
          <w:spacing w:val="0"/>
          <w:sz w:val="20"/>
          <w:szCs w:val="20"/>
          <w:shd w:val="clear" w:color="auto" w:fill="FFFFFF"/>
          <w:vertAlign w:val="subscript"/>
        </w:rPr>
        <w:t>4 </w:t>
      </w:r>
      <w:r>
        <w:rPr>
          <w:rStyle w:val="any"/>
          <w:b w:val="0"/>
          <w:bCs w:val="0"/>
          <w:caps w:val="0"/>
          <w:smallCaps w:val="0"/>
          <w:spacing w:val="8"/>
        </w:rPr>
        <w:t>decorated on diatomaceous earth. Science of the Total Environment, 2021, 777, 147034.</w:t>
      </w:r>
      <w:r>
        <w:rPr>
          <w:rStyle w:val="any"/>
          <w:rFonts w:ascii="PMingLiU" w:eastAsia="PMingLiU" w:hAnsi="PMingLiU" w:cs="PMingLiU"/>
          <w:b w:val="0"/>
          <w:bCs w:val="0"/>
          <w:caps w:val="0"/>
          <w:smallCaps w:val="0"/>
          <w:spacing w:val="8"/>
        </w:rPr>
        <w:t>（标注基金号</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经查，5篇涉事论文存在抄袭他人论文问题，还存在未经同意使用他人署名和擅自标注他人基金项目问题。5篇涉事论文第一作者</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应对此问题负责。</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陈岩将论文1至论文3列入基金项目（申请号</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，未获资助）申请书，</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还应对此问题负责。</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此外，</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在2019年基金项目申请过程中，未经他人同意将其列为基金项目参与人，并冒充签名，陈岩还应对此问题负责。</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国家自然科学基金委员会监督委员会六届五次会议审议，由国家自然科学基金委员会2024年第18次委务会议审定，决定依据《国家自然科学基金项目科研不端行为调查处理办法》第四十七条，第四十条，第四十一条第四项、第五项，第四十三条第一项、第六项，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国家自然科学基金项目申请和参与申请资格5年（2024年11月12日至2029年11月11日），给予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通报批评。</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center"/>
        <w:rPr>
          <w:rStyle w:val="any"/>
          <w:rFonts w:ascii="Calibri" w:eastAsia="Calibri" w:hAnsi="Calibri" w:cs="Calibri"/>
          <w:b w:val="0"/>
          <w:bCs w:val="0"/>
          <w:spacing w:val="8"/>
        </w:rPr>
      </w:pPr>
      <w:r>
        <w:rPr>
          <w:rStyle w:val="any"/>
          <w:rFonts w:ascii="宋体" w:eastAsia="宋体" w:hAnsi="宋体" w:cs="宋体"/>
          <w:b/>
          <w:bCs/>
          <w:caps w:val="0"/>
          <w:smallCaps w:val="0"/>
          <w:spacing w:val="8"/>
        </w:rPr>
        <w:t>通报</w:t>
      </w:r>
      <w:r>
        <w:rPr>
          <w:rStyle w:val="any"/>
          <w:b/>
          <w:bCs/>
          <w:caps w:val="0"/>
          <w:smallCaps w:val="0"/>
          <w:spacing w:val="8"/>
        </w:rPr>
        <w:t>6</w:t>
      </w:r>
      <w:r>
        <w:rPr>
          <w:rStyle w:val="any"/>
          <w:rFonts w:ascii="PMingLiU" w:eastAsia="PMingLiU" w:hAnsi="PMingLiU" w:cs="PMingLiU"/>
          <w:b/>
          <w:bCs/>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国家自然科学基金委员会监督委员会对江西某高校</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涉嫌学术不端开展了调查。</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经查，</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在2008年至2024年期间先后利用多个虚假的身份信息申请了多项科学基金项目（均未获资助），存在提供虚假信息问题，情节十分严重。</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国家自然科学基金委员会监督委员会六届五次会议审议，由国家自然科学基金委员会2024年第18次委务会议审定，决定依据《国家自然科学基金项目科研不端行为调查处理办法》第四十一条第三项、第四十八条第三款，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国家自然科学基金项目申请和参与申请资格7年（2024年11月12日至2031年11月11日），给予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通报批评。</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center"/>
        <w:rPr>
          <w:rStyle w:val="any"/>
          <w:rFonts w:ascii="Calibri" w:eastAsia="Calibri" w:hAnsi="Calibri" w:cs="Calibri"/>
          <w:b w:val="0"/>
          <w:bCs w:val="0"/>
          <w:spacing w:val="8"/>
        </w:rPr>
      </w:pPr>
      <w:r>
        <w:rPr>
          <w:rStyle w:val="any"/>
          <w:rFonts w:ascii="宋体" w:eastAsia="宋体" w:hAnsi="宋体" w:cs="宋体"/>
          <w:b/>
          <w:bCs/>
          <w:caps w:val="0"/>
          <w:smallCaps w:val="0"/>
          <w:spacing w:val="8"/>
        </w:rPr>
        <w:t>通报</w:t>
      </w:r>
      <w:r>
        <w:rPr>
          <w:rStyle w:val="any"/>
          <w:b/>
          <w:bCs/>
          <w:caps w:val="0"/>
          <w:smallCaps w:val="0"/>
          <w:spacing w:val="8"/>
        </w:rPr>
        <w:t>7</w:t>
      </w:r>
      <w:r>
        <w:rPr>
          <w:rStyle w:val="any"/>
          <w:rFonts w:ascii="PMingLiU" w:eastAsia="PMingLiU" w:hAnsi="PMingLiU" w:cs="PMingLiU"/>
          <w:b/>
          <w:bCs/>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国家自然科学基金委员会监督委员会对江西某高校</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等涉嫌学术不端开展了调查。</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经查，</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大量使用自己往年评审的某省自然科学基金项目申请书内容撰写形成国家自然科学基金项目申请书，并安排他人使用上述申请书申请2024年科学基金项目（未获资助）。</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存在抄袭、剽窃他人基金项目申请书问题。</w:t>
      </w:r>
    </w:p>
    <w:p>
      <w:pPr>
        <w:pStyle w:val="p"/>
        <w:keepNext w:val="0"/>
        <w:pBdr>
          <w:top w:val="none" w:sz="0" w:space="0" w:color="auto"/>
          <w:left w:val="none" w:sz="0" w:space="0" w:color="auto"/>
          <w:bottom w:val="none" w:sz="0" w:space="0" w:color="auto"/>
          <w:right w:val="none" w:sz="0" w:space="0" w:color="auto"/>
        </w:pBdr>
        <w:spacing w:before="0" w:after="0" w:line="360" w:lineRule="auto"/>
        <w:ind w:left="380" w:right="380" w:firstLine="0"/>
        <w:jc w:val="left"/>
        <w:rPr>
          <w:rStyle w:val="any"/>
          <w:rFonts w:ascii="Calibri" w:eastAsia="Calibri" w:hAnsi="Calibri" w:cs="Calibri"/>
          <w:b w:val="0"/>
          <w:bCs w:val="0"/>
          <w:spacing w:val="8"/>
        </w:rPr>
      </w:pPr>
      <w:r>
        <w:rPr>
          <w:rStyle w:val="any"/>
          <w:rFonts w:ascii="宋体" w:eastAsia="宋体" w:hAnsi="宋体" w:cs="宋体"/>
          <w:b w:val="0"/>
          <w:bCs w:val="0"/>
          <w:caps w:val="0"/>
          <w:smallCaps w:val="0"/>
          <w:spacing w:val="8"/>
        </w:rPr>
        <w:t>经国家自然科学基金委员会监督委员会六届五次会议审议，由国家自然科学基金委员会2024年第18次委务会议审定，决定依据《国家自然科学基金项目科研不端行为调查处理办法》第四十条、第五十条第二款，取消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国家自然科学基金项目评审资格7年（2024年11月12日至2031年11月11日），取消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国家自然科学基金项目申请和参与申请资格5年（2024年11月12日至2029年11月11日），给予</w:t>
      </w:r>
      <w:r>
        <w:rPr>
          <w:rStyle w:val="any"/>
          <w:b w:val="0"/>
          <w:bCs w:val="0"/>
          <w:caps w:val="0"/>
          <w:smallCaps w:val="0"/>
          <w:color w:val="FF0000"/>
          <w:spacing w:val="8"/>
        </w:rPr>
        <w:t>***</w:t>
      </w:r>
      <w:r>
        <w:rPr>
          <w:rStyle w:val="any"/>
          <w:rFonts w:ascii="宋体" w:eastAsia="宋体" w:hAnsi="宋体" w:cs="宋体"/>
          <w:b w:val="0"/>
          <w:bCs w:val="0"/>
          <w:caps w:val="0"/>
          <w:smallCaps w:val="0"/>
          <w:spacing w:val="8"/>
        </w:rPr>
        <w:t>通报批评。</w:t>
      </w:r>
    </w:p>
    <w:p>
      <w:pPr>
        <w:pStyle w:val="p"/>
        <w:pBdr>
          <w:top w:val="none" w:sz="0" w:space="0" w:color="auto"/>
          <w:left w:val="none" w:sz="0" w:space="0" w:color="auto"/>
          <w:bottom w:val="none" w:sz="0" w:space="0" w:color="auto"/>
          <w:right w:val="none" w:sz="0" w:space="0" w:color="auto"/>
        </w:pBdr>
        <w:spacing w:before="0" w:after="0" w:line="360" w:lineRule="auto"/>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319490" name=""/>
                    <pic:cNvPicPr>
                      <a:picLocks noChangeAspect="1"/>
                    </pic:cNvPicPr>
                  </pic:nvPicPr>
                  <pic:blipFill>
                    <a:blip xmlns:r="http://schemas.openxmlformats.org/officeDocument/2006/relationships" r:embed="rId7"/>
                    <a:stretch>
                      <a:fillRect/>
                    </a:stretch>
                  </pic:blipFill>
                  <pic:spPr>
                    <a:xfrm>
                      <a:off x="0" y="0"/>
                      <a:ext cx="4063460" cy="2507647"/>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898&amp;idx=1&amp;sn=5ee1ba9c3ca6e95784ddc737f7b3787a"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