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江苏省农业科学院曾任副院长团队论文图像被讨论，背后有国自然基金支持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243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蛋白的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814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434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Synergistic selection of a Helicoverpa armigera cadherin fragment with Cry1Ac in different cells and insects 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江苏省农业科学院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Xianjin 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刘贤金）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[31630061]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10.1016/j.ijbiomac.2020.08.175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688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66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https://pubpeer.com/publications/85564E6A6A8C579117BC2C125759D8#0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https://www.sciencedirect.com/science/article/abs/pii/S0141813020342665?via%3Dihub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3&amp;sn=8f227ead0d6c6accfc10d1bf183476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