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复用早期发表的论文图像数据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苏州大学苏州医学院与赣南医学院合作论文被质疑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Cancers (2023)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TRIM10 Is Downregulated in Acute Myeloid Leukemia and Plays a Tumor Suppressive Role via Regulating NF-κB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TRIM10在急性髓系白血病中下调并通过调节NF-κB通路发挥抑癌作用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10.3390/cancers15020417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 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与其他论文存在印迹图相同。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苏州大学苏州医学院；赣南医学院第一附属医院血液科；楚雄医药高等专科学校基础医学系；赣南医学院第一附属医院急诊科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的作者Lin Li , Qi Li , Zhengrong Zou , Zoufang Huang , Yijian Chen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通讯作者：Yijian Chen（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苏州大学苏州医学院，赣南医学院第一附属医院血液科）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3135" cy="51054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99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5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11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1C：Western 免疫印迹图取自先前发表的论文（Yi, L et al., 2022; Cell Death Dis）。相同的数据解释不同。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3E：两张流式细胞术点图取自先前发表的论文（Yi, L et al., 2022; Cell Death Dis.）。相同的数据有不同的解释。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本次分析中使用了 ImageTwin。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50565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06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05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56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本研究得到了赣南医学院博士生启动基金（QD805）；赣南医学院横向课题基金（2021002）；教育部重点实验室基金（XN202003）的资助。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1748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964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17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14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https://pmc.ncbi.nlm.nih.gov/articles/PMC9856727/#ack1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https://pubpeer.com/publications/6032AE67516A8B315F8BF122A159E7#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6&amp;sn=8888f42d792fd1a8dba2d75a9bc8d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