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苏州大学第一附属医院耳鼻喉科刘济生多图现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复制粘贴痕迹，苏州大学研究可信度遭挑战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2025-05-01 09:57:00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2395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miR-141-3p promotes proliferation and metastasis of nasopharyngeal carcinoma by targeting NME1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13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：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苏州大学第一附属医院耳鼻喉科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Manyi Li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Jisheng Liu(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刘济生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9"/>
          <w:sz w:val="21"/>
          <w:szCs w:val="21"/>
        </w:rPr>
        <w:t>Advances in Medical Sciences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972050" cy="41529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359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1411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图像异常问题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1G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中的两幅图像看起来是相同的，尽管是水平翻转的。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96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6627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67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1F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3C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发现多处重复。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969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588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69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206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150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20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Xu et al 2018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10a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</w:p>
    <w:p>
      <w:pPr>
        <w:numPr>
          <w:ilvl w:val="0"/>
          <w:numId w:val="1"/>
        </w:numPr>
        <w:spacing w:before="0" w:after="0" w:line="336" w:lineRule="atLeast"/>
        <w:ind w:left="300" w:right="300" w:hanging="197"/>
        <w:jc w:val="both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[left] Fig 10a from "The effects of lncRNA MALAT1 on proliferation, invasion and migration in colorectal cancer through regulating SOX9" (Xu et al 2018).</w:t>
      </w:r>
    </w:p>
    <w:p>
      <w:pPr>
        <w:numPr>
          <w:ilvl w:val="0"/>
          <w:numId w:val="1"/>
        </w:numPr>
        <w:spacing w:before="0" w:after="0" w:line="336" w:lineRule="atLeast"/>
        <w:ind w:left="300" w:right="300" w:hanging="197"/>
        <w:jc w:val="both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[right] Fig 4B.</w:t>
      </w:r>
    </w:p>
    <w:p>
      <w:pPr>
        <w:spacing w:before="0" w:after="0" w:line="336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sz w:val="21"/>
          <w:szCs w:val="21"/>
          <w:u w:val="none"/>
        </w:rPr>
        <w:drawing>
          <wp:inline>
            <wp:extent cx="10287000" cy="29051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1744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905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https://pubpeer.com/publications/5278A8FCD975E1E0C03F47AF88CDF4#6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https://www.sciencedirect.com/science/article/pii/S1896112620300134?via%3Dihub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6539&amp;idx=1&amp;sn=fe45d3382cc17af35a17ab164dfe22a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