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科研图像争议再添一例！贵州医科大学基础医学院杨勤教授团队图像重复风波：作者震惊并提供原始数据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14:52:00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07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Oxymatrine attenuates arsenic-induced endoplasmic reticulum stress and calcium dyshomeostasis in hepatic stellate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贵州省常见慢性病发病机制与药物研究重点实验室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贵州医科大学基础医学院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Huiqun Wang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Qin Yang(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杨勤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1"/>
          <w:szCs w:val="21"/>
        </w:rPr>
        <w:t>Annals of Translational Medicine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396" cy="47319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51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47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9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图像异常问题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Liu et al 2020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[above] Fig 5a from "Oxymatrine exerts anti-fibrotic effects in a rat model of hepatic fibrosis by suppressing endoplasmic reticulum stress" (Liu et al 2020).</w:t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[below] Fig 1C.</w:t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Same results, different studies, different authors.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6448396" cy="37257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14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37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整体来自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Liu et al "Oxymatrine exerts anti-fibrotic effects in a rat model of hepatic fibrosis by suppressing endoplasmic reticulum stress" (Liu et al 2020).</w:t>
      </w:r>
    </w:p>
    <w:p>
      <w:pPr>
        <w:spacing w:after="0" w:line="408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5C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from Liu et al, and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2C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396" cy="29662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94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296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52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 Qin Yang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回应：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我们对此既震惊又无法接受。我们拥有这项研究的原始数据。我们已经就此向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IMR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发送了电子邮件，现在我们提供原始数据，以便在照片文件中显示。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99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46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1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42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Part.4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2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更正说明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小更正：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2024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28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“Oxymatrine attenuates arsenic-induced endoplasmic reticulum stress and calcium dyshomeostasis in hepatic stellate cells” (doi: 10.21037/atm-20-5881)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的文章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(1)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不幸在图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1-4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中出现错误，而图中的图例保持完整。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GRP78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α-SMA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的分子量标注错误。图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2C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GRP78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的分子量应为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78 kDa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，而不是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37 kDa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。在图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1F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3C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4D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α-SMA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的分子量应为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42 kDa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，而不是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72 kDa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。</w:t>
      </w:r>
    </w:p>
    <w:p>
      <w:pPr>
        <w:spacing w:before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国家自然科学基金（No.81460484）</w:t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https://pubpeer.com/publications/520E6AB2836CBEBECD1750DB2702C2</w:t>
      </w:r>
      <w:r>
        <w:rPr>
          <w:rStyle w:val="a"/>
          <w:rFonts w:ascii="Times New Roman" w:eastAsia="Times New Roman" w:hAnsi="Times New Roman" w:cs="Times New Roman"/>
          <w:spacing w:val="8"/>
          <w:sz w:val="20"/>
          <w:szCs w:val="20"/>
        </w:rPr>
        <w:t>#2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https://pubmed.ncbi.nlm.nih.gov/33241020/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523&amp;idx=1&amp;sn=fac51e130e416c08c40361a82de738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