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济宁医科大学附属医院肿瘤科</w:t>
        </w:r>
        <w:r>
          <w:rPr>
            <w:rStyle w:val="a"/>
            <w:rFonts w:ascii="Times New Roman" w:eastAsia="Times New Roman" w:hAnsi="Times New Roman" w:cs="Times New Roman"/>
            <w:b w:val="0"/>
            <w:bCs w:val="0"/>
            <w:spacing w:val="8"/>
          </w:rPr>
          <w:t>Pharmacology</w:t>
        </w:r>
        <w:r>
          <w:rPr>
            <w:rStyle w:val="a"/>
            <w:rFonts w:ascii="PMingLiU" w:eastAsia="PMingLiU" w:hAnsi="PMingLiU" w:cs="PMingLiU"/>
            <w:b w:val="0"/>
            <w:bCs w:val="0"/>
            <w:spacing w:val="8"/>
          </w:rPr>
          <w:t>论文图片重复撤回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2025-05-02 09:42:59</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2661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4919"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济宁医科大学附属医院肿瘤科</w:t>
            </w:r>
            <w:r>
              <w:rPr>
                <w:rStyle w:val="any"/>
                <w:rFonts w:ascii="Tahoma" w:eastAsia="Tahoma" w:hAnsi="Tahoma" w:cs="Tahoma"/>
                <w:b/>
                <w:bCs/>
                <w:i w:val="0"/>
                <w:iCs w:val="0"/>
                <w:caps w:val="0"/>
                <w:smallCaps w:val="0"/>
                <w:color w:val="111111"/>
                <w:spacing w:val="8"/>
                <w:sz w:val="28"/>
                <w:szCs w:val="28"/>
              </w:rPr>
              <w:t>Pharmacology</w:t>
            </w:r>
            <w:r>
              <w:rPr>
                <w:rStyle w:val="any"/>
                <w:rFonts w:ascii="PMingLiU" w:eastAsia="PMingLiU" w:hAnsi="PMingLiU" w:cs="PMingLiU"/>
                <w:b/>
                <w:bCs/>
                <w:i w:val="0"/>
                <w:iCs w:val="0"/>
                <w:caps w:val="0"/>
                <w:smallCaps w:val="0"/>
                <w:color w:val="111111"/>
                <w:spacing w:val="8"/>
                <w:sz w:val="28"/>
                <w:szCs w:val="28"/>
              </w:rPr>
              <w:t>论文图片重复撤回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111111"/>
                <w:spacing w:val="8"/>
                <w:kern w:val="36"/>
                <w:sz w:val="21"/>
                <w:szCs w:val="21"/>
              </w:rPr>
              <w:t>MicroRNA-591 Functions as a Tumor Suppressor in Hepatocellular Carcinoma by Lowering Drug Resistance through Inhibition of Far-Upstream Element-Binding Protein 2-Mediated Phosphoinositide 3-Kinase/Akt/Mammalian Target of Rapamycin Axis</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MicroRNA-591</w:t>
            </w:r>
            <w:r>
              <w:rPr>
                <w:rStyle w:val="any"/>
                <w:rFonts w:ascii="PMingLiU" w:eastAsia="PMingLiU" w:hAnsi="PMingLiU" w:cs="PMingLiU"/>
                <w:b w:val="0"/>
                <w:bCs w:val="0"/>
                <w:i w:val="0"/>
                <w:iCs w:val="0"/>
                <w:caps w:val="0"/>
                <w:smallCaps w:val="0"/>
                <w:color w:val="111111"/>
                <w:spacing w:val="8"/>
                <w:sz w:val="21"/>
                <w:szCs w:val="21"/>
              </w:rPr>
              <w:t>通过抑制雷帕霉素轴远上游元件结合蛋白</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介导的磷酸肌醇</w:t>
            </w:r>
            <w:r>
              <w:rPr>
                <w:rStyle w:val="any"/>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激酶</w:t>
            </w:r>
            <w:r>
              <w:rPr>
                <w:rStyle w:val="any"/>
                <w:b w:val="0"/>
                <w:bCs w:val="0"/>
                <w:i w:val="0"/>
                <w:iCs w:val="0"/>
                <w:caps w:val="0"/>
                <w:smallCaps w:val="0"/>
                <w:color w:val="111111"/>
                <w:spacing w:val="8"/>
                <w:sz w:val="21"/>
                <w:szCs w:val="21"/>
              </w:rPr>
              <w:t>/Akt/</w:t>
            </w:r>
            <w:r>
              <w:rPr>
                <w:rStyle w:val="any"/>
                <w:rFonts w:ascii="PMingLiU" w:eastAsia="PMingLiU" w:hAnsi="PMingLiU" w:cs="PMingLiU"/>
                <w:b w:val="0"/>
                <w:bCs w:val="0"/>
                <w:i w:val="0"/>
                <w:iCs w:val="0"/>
                <w:caps w:val="0"/>
                <w:smallCaps w:val="0"/>
                <w:color w:val="111111"/>
                <w:spacing w:val="8"/>
                <w:sz w:val="21"/>
                <w:szCs w:val="21"/>
              </w:rPr>
              <w:t>哺乳动物靶点来降低耐药性，从而在肝细胞癌中发挥抑癌作用</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MicroRNAs</w:t>
            </w:r>
            <w:r>
              <w:rPr>
                <w:rStyle w:val="any"/>
                <w:rFonts w:ascii="PMingLiU" w:eastAsia="PMingLiU" w:hAnsi="PMingLiU" w:cs="PMingLiU"/>
                <w:b w:val="0"/>
                <w:bCs w:val="0"/>
                <w:i w:val="0"/>
                <w:iCs w:val="0"/>
                <w:caps w:val="0"/>
                <w:smallCaps w:val="0"/>
                <w:color w:val="111111"/>
                <w:spacing w:val="8"/>
                <w:sz w:val="21"/>
                <w:szCs w:val="21"/>
              </w:rPr>
              <w:t>是一组非编码调节</w:t>
            </w:r>
            <w:r>
              <w:rPr>
                <w:rStyle w:val="any"/>
                <w:b w:val="0"/>
                <w:bCs w:val="0"/>
                <w:i w:val="0"/>
                <w:iCs w:val="0"/>
                <w:caps w:val="0"/>
                <w:smallCaps w:val="0"/>
                <w:color w:val="111111"/>
                <w:spacing w:val="8"/>
                <w:sz w:val="21"/>
                <w:szCs w:val="21"/>
              </w:rPr>
              <w:t>RNA</w:t>
            </w:r>
            <w:r>
              <w:rPr>
                <w:rStyle w:val="any"/>
                <w:rFonts w:ascii="PMingLiU" w:eastAsia="PMingLiU" w:hAnsi="PMingLiU" w:cs="PMingLiU"/>
                <w:b w:val="0"/>
                <w:bCs w:val="0"/>
                <w:i w:val="0"/>
                <w:iCs w:val="0"/>
                <w:caps w:val="0"/>
                <w:smallCaps w:val="0"/>
                <w:color w:val="111111"/>
                <w:spacing w:val="8"/>
                <w:sz w:val="21"/>
                <w:szCs w:val="21"/>
              </w:rPr>
              <w:t>，参与肿瘤发生、细胞存活和化学敏感性。首先，基于微阵列的分析预测，肝细胞癌（</w:t>
            </w:r>
            <w:r>
              <w:rPr>
                <w:rStyle w:val="any"/>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）中的远上游元件结合蛋白</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w:t>
            </w:r>
            <w:r>
              <w:rPr>
                <w:rStyle w:val="any"/>
                <w:b w:val="0"/>
                <w:bCs w:val="0"/>
                <w:i w:val="0"/>
                <w:iCs w:val="0"/>
                <w:caps w:val="0"/>
                <w:smallCaps w:val="0"/>
                <w:color w:val="111111"/>
                <w:spacing w:val="8"/>
                <w:sz w:val="21"/>
                <w:szCs w:val="21"/>
              </w:rPr>
              <w:t>FBP2</w:t>
            </w:r>
            <w:r>
              <w:rPr>
                <w:rStyle w:val="any"/>
                <w:rFonts w:ascii="PMingLiU" w:eastAsia="PMingLiU" w:hAnsi="PMingLiU" w:cs="PMingLiU"/>
                <w:b w:val="0"/>
                <w:bCs w:val="0"/>
                <w:i w:val="0"/>
                <w:iCs w:val="0"/>
                <w:caps w:val="0"/>
                <w:smallCaps w:val="0"/>
                <w:color w:val="111111"/>
                <w:spacing w:val="8"/>
                <w:sz w:val="21"/>
                <w:szCs w:val="21"/>
              </w:rPr>
              <w:t>）上调，这可能受</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的调节。在这项研究中，我们假设</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通过调节</w:t>
            </w:r>
            <w:r>
              <w:rPr>
                <w:rStyle w:val="any"/>
                <w:b w:val="0"/>
                <w:bCs w:val="0"/>
                <w:i w:val="0"/>
                <w:iCs w:val="0"/>
                <w:caps w:val="0"/>
                <w:smallCaps w:val="0"/>
                <w:color w:val="111111"/>
                <w:spacing w:val="8"/>
                <w:sz w:val="21"/>
                <w:szCs w:val="21"/>
              </w:rPr>
              <w:t>FBP2</w:t>
            </w:r>
            <w:r>
              <w:rPr>
                <w:rStyle w:val="any"/>
                <w:rFonts w:ascii="PMingLiU" w:eastAsia="PMingLiU" w:hAnsi="PMingLiU" w:cs="PMingLiU"/>
                <w:b w:val="0"/>
                <w:bCs w:val="0"/>
                <w:i w:val="0"/>
                <w:iCs w:val="0"/>
                <w:caps w:val="0"/>
                <w:smallCaps w:val="0"/>
                <w:color w:val="111111"/>
                <w:spacing w:val="8"/>
                <w:sz w:val="21"/>
                <w:szCs w:val="21"/>
              </w:rPr>
              <w:t>在</w:t>
            </w:r>
            <w:r>
              <w:rPr>
                <w:rStyle w:val="any"/>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中发挥抑制作用。接下来，逆转录定量聚合酶链反应发现</w:t>
            </w:r>
            <w:r>
              <w:rPr>
                <w:rStyle w:val="any"/>
                <w:b w:val="0"/>
                <w:bCs w:val="0"/>
                <w:i w:val="0"/>
                <w:iCs w:val="0"/>
                <w:caps w:val="0"/>
                <w:smallCaps w:val="0"/>
                <w:color w:val="111111"/>
                <w:spacing w:val="8"/>
                <w:sz w:val="21"/>
                <w:szCs w:val="21"/>
              </w:rPr>
              <w:t>FBP2</w:t>
            </w:r>
            <w:r>
              <w:rPr>
                <w:rStyle w:val="any"/>
                <w:rFonts w:ascii="PMingLiU" w:eastAsia="PMingLiU" w:hAnsi="PMingLiU" w:cs="PMingLiU"/>
                <w:b w:val="0"/>
                <w:bCs w:val="0"/>
                <w:i w:val="0"/>
                <w:iCs w:val="0"/>
                <w:caps w:val="0"/>
                <w:smallCaps w:val="0"/>
                <w:color w:val="111111"/>
                <w:spacing w:val="8"/>
                <w:sz w:val="21"/>
                <w:szCs w:val="21"/>
              </w:rPr>
              <w:t>在</w:t>
            </w:r>
            <w:r>
              <w:rPr>
                <w:rStyle w:val="any"/>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组织中高表达，</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低表达。然后，通过</w:t>
            </w:r>
            <w:r>
              <w:rPr>
                <w:rStyle w:val="any"/>
                <w:b w:val="0"/>
                <w:bCs w:val="0"/>
                <w:i w:val="0"/>
                <w:iCs w:val="0"/>
                <w:caps w:val="0"/>
                <w:smallCaps w:val="0"/>
                <w:color w:val="111111"/>
                <w:spacing w:val="8"/>
                <w:sz w:val="21"/>
                <w:szCs w:val="21"/>
              </w:rPr>
              <w:t>Pearson</w:t>
            </w:r>
            <w:r>
              <w:rPr>
                <w:rStyle w:val="any"/>
                <w:rFonts w:ascii="PMingLiU" w:eastAsia="PMingLiU" w:hAnsi="PMingLiU" w:cs="PMingLiU"/>
                <w:b w:val="0"/>
                <w:bCs w:val="0"/>
                <w:i w:val="0"/>
                <w:iCs w:val="0"/>
                <w:caps w:val="0"/>
                <w:smallCaps w:val="0"/>
                <w:color w:val="111111"/>
                <w:spacing w:val="8"/>
                <w:sz w:val="21"/>
                <w:szCs w:val="21"/>
              </w:rPr>
              <w:t>相关系数确定</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与</w:t>
            </w:r>
            <w:r>
              <w:rPr>
                <w:rStyle w:val="any"/>
                <w:b w:val="0"/>
                <w:bCs w:val="0"/>
                <w:i w:val="0"/>
                <w:iCs w:val="0"/>
                <w:caps w:val="0"/>
                <w:smallCaps w:val="0"/>
                <w:color w:val="111111"/>
                <w:spacing w:val="8"/>
                <w:sz w:val="21"/>
                <w:szCs w:val="21"/>
              </w:rPr>
              <w:t>FBP2 mRNA</w:t>
            </w:r>
            <w:r>
              <w:rPr>
                <w:rStyle w:val="any"/>
                <w:rFonts w:ascii="PMingLiU" w:eastAsia="PMingLiU" w:hAnsi="PMingLiU" w:cs="PMingLiU"/>
                <w:b w:val="0"/>
                <w:bCs w:val="0"/>
                <w:i w:val="0"/>
                <w:iCs w:val="0"/>
                <w:caps w:val="0"/>
                <w:smallCaps w:val="0"/>
                <w:color w:val="111111"/>
                <w:spacing w:val="8"/>
                <w:sz w:val="21"/>
                <w:szCs w:val="21"/>
              </w:rPr>
              <w:t>表达之间的负相关，并使用双荧光素酶报告基因分析验证</w:t>
            </w:r>
            <w:r>
              <w:rPr>
                <w:rStyle w:val="any"/>
                <w:b w:val="0"/>
                <w:bCs w:val="0"/>
                <w:i w:val="0"/>
                <w:iCs w:val="0"/>
                <w:caps w:val="0"/>
                <w:smallCaps w:val="0"/>
                <w:color w:val="111111"/>
                <w:spacing w:val="8"/>
                <w:sz w:val="21"/>
                <w:szCs w:val="21"/>
              </w:rPr>
              <w:t>FBP2 3'-</w:t>
            </w:r>
            <w:r>
              <w:rPr>
                <w:rStyle w:val="any"/>
                <w:rFonts w:ascii="PMingLiU" w:eastAsia="PMingLiU" w:hAnsi="PMingLiU" w:cs="PMingLiU"/>
                <w:b w:val="0"/>
                <w:bCs w:val="0"/>
                <w:i w:val="0"/>
                <w:iCs w:val="0"/>
                <w:caps w:val="0"/>
                <w:smallCaps w:val="0"/>
                <w:color w:val="111111"/>
                <w:spacing w:val="8"/>
                <w:sz w:val="21"/>
                <w:szCs w:val="21"/>
              </w:rPr>
              <w:t>非翻译区上推定的</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结合位点。在耐药</w:t>
            </w:r>
            <w:r>
              <w:rPr>
                <w:rStyle w:val="any"/>
                <w:b w:val="0"/>
                <w:bCs w:val="0"/>
                <w:i w:val="0"/>
                <w:iCs w:val="0"/>
                <w:caps w:val="0"/>
                <w:smallCaps w:val="0"/>
                <w:color w:val="111111"/>
                <w:spacing w:val="8"/>
                <w:sz w:val="21"/>
                <w:szCs w:val="21"/>
              </w:rPr>
              <w:t>CD133+/CD44+</w:t>
            </w:r>
            <w:r>
              <w:rPr>
                <w:rStyle w:val="any"/>
                <w:rFonts w:ascii="PMingLiU" w:eastAsia="PMingLiU" w:hAnsi="PMingLiU" w:cs="PMingLiU"/>
                <w:b w:val="0"/>
                <w:bCs w:val="0"/>
                <w:i w:val="0"/>
                <w:iCs w:val="0"/>
                <w:caps w:val="0"/>
                <w:smallCaps w:val="0"/>
                <w:color w:val="111111"/>
                <w:spacing w:val="8"/>
                <w:sz w:val="21"/>
                <w:szCs w:val="21"/>
              </w:rPr>
              <w:t>细胞中</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和</w:t>
            </w:r>
            <w:r>
              <w:rPr>
                <w:rStyle w:val="any"/>
                <w:b w:val="0"/>
                <w:bCs w:val="0"/>
                <w:i w:val="0"/>
                <w:iCs w:val="0"/>
                <w:caps w:val="0"/>
                <w:smallCaps w:val="0"/>
                <w:color w:val="111111"/>
                <w:spacing w:val="8"/>
                <w:sz w:val="21"/>
                <w:szCs w:val="21"/>
              </w:rPr>
              <w:t>FBP2</w:t>
            </w:r>
            <w:r>
              <w:rPr>
                <w:rStyle w:val="any"/>
                <w:rFonts w:ascii="PMingLiU" w:eastAsia="PMingLiU" w:hAnsi="PMingLiU" w:cs="PMingLiU"/>
                <w:b w:val="0"/>
                <w:bCs w:val="0"/>
                <w:i w:val="0"/>
                <w:iCs w:val="0"/>
                <w:caps w:val="0"/>
                <w:smallCaps w:val="0"/>
                <w:color w:val="111111"/>
                <w:spacing w:val="8"/>
                <w:sz w:val="21"/>
                <w:szCs w:val="21"/>
              </w:rPr>
              <w:t>的表达发生改变后，一系列体外和体内实验表明，</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过表达或</w:t>
            </w:r>
            <w:r>
              <w:rPr>
                <w:rStyle w:val="any"/>
                <w:b w:val="0"/>
                <w:bCs w:val="0"/>
                <w:i w:val="0"/>
                <w:iCs w:val="0"/>
                <w:caps w:val="0"/>
                <w:smallCaps w:val="0"/>
                <w:color w:val="111111"/>
                <w:spacing w:val="8"/>
                <w:sz w:val="21"/>
                <w:szCs w:val="21"/>
              </w:rPr>
              <w:t>FBP2</w:t>
            </w:r>
            <w:r>
              <w:rPr>
                <w:rStyle w:val="any"/>
                <w:rFonts w:ascii="PMingLiU" w:eastAsia="PMingLiU" w:hAnsi="PMingLiU" w:cs="PMingLiU"/>
                <w:b w:val="0"/>
                <w:bCs w:val="0"/>
                <w:i w:val="0"/>
                <w:iCs w:val="0"/>
                <w:caps w:val="0"/>
                <w:smallCaps w:val="0"/>
                <w:color w:val="111111"/>
                <w:spacing w:val="8"/>
                <w:sz w:val="21"/>
                <w:szCs w:val="21"/>
              </w:rPr>
              <w:t>沉默都会抑制球体形成和集落形成的能力、耐药性以及致瘤性。进一步观察到，</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可以通过阻断雷帕霉素轴的磷酸肌醇</w:t>
            </w:r>
            <w:r>
              <w:rPr>
                <w:rStyle w:val="any"/>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激酶</w:t>
            </w:r>
            <w:r>
              <w:rPr>
                <w:rStyle w:val="any"/>
                <w:b w:val="0"/>
                <w:bCs w:val="0"/>
                <w:i w:val="0"/>
                <w:iCs w:val="0"/>
                <w:caps w:val="0"/>
                <w:smallCaps w:val="0"/>
                <w:color w:val="111111"/>
                <w:spacing w:val="8"/>
                <w:sz w:val="21"/>
                <w:szCs w:val="21"/>
              </w:rPr>
              <w:t>/Akt/</w:t>
            </w:r>
            <w:r>
              <w:rPr>
                <w:rStyle w:val="any"/>
                <w:rFonts w:ascii="PMingLiU" w:eastAsia="PMingLiU" w:hAnsi="PMingLiU" w:cs="PMingLiU"/>
                <w:b w:val="0"/>
                <w:bCs w:val="0"/>
                <w:i w:val="0"/>
                <w:iCs w:val="0"/>
                <w:caps w:val="0"/>
                <w:smallCaps w:val="0"/>
                <w:color w:val="111111"/>
                <w:spacing w:val="8"/>
                <w:sz w:val="21"/>
                <w:szCs w:val="21"/>
              </w:rPr>
              <w:t>哺乳动物靶点来抑制</w:t>
            </w:r>
            <w:r>
              <w:rPr>
                <w:rStyle w:val="any"/>
                <w:b w:val="0"/>
                <w:bCs w:val="0"/>
                <w:i w:val="0"/>
                <w:iCs w:val="0"/>
                <w:caps w:val="0"/>
                <w:smallCaps w:val="0"/>
                <w:color w:val="111111"/>
                <w:spacing w:val="8"/>
                <w:sz w:val="21"/>
                <w:szCs w:val="21"/>
              </w:rPr>
              <w:t>FBP2</w:t>
            </w:r>
            <w:r>
              <w:rPr>
                <w:rStyle w:val="any"/>
                <w:rFonts w:ascii="PMingLiU" w:eastAsia="PMingLiU" w:hAnsi="PMingLiU" w:cs="PMingLiU"/>
                <w:b w:val="0"/>
                <w:bCs w:val="0"/>
                <w:i w:val="0"/>
                <w:iCs w:val="0"/>
                <w:caps w:val="0"/>
                <w:smallCaps w:val="0"/>
                <w:color w:val="111111"/>
                <w:spacing w:val="8"/>
                <w:sz w:val="21"/>
                <w:szCs w:val="21"/>
              </w:rPr>
              <w:t>的表达。上述结果强调了</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通过降低</w:t>
            </w:r>
            <w:r>
              <w:rPr>
                <w:rStyle w:val="any"/>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干细胞的耐药性对</w:t>
            </w:r>
            <w:r>
              <w:rPr>
                <w:rStyle w:val="any"/>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发展的抑制作用。它揭示了</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是治疗</w:t>
            </w:r>
            <w:r>
              <w:rPr>
                <w:rStyle w:val="any"/>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的新靶点。</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济宁医科大学附属医院肿瘤科，济宁，</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济宁医科大学附属医院肿瘤科，</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Pharmacology</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图片重复</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本文发表后，人们对所提供的一些数据的完整性表示担忧。具体来说，在本文的图</w:t>
            </w:r>
            <w:r>
              <w:rPr>
                <w:rStyle w:val="any"/>
                <w:rFonts w:ascii="Tahoma" w:eastAsia="Tahoma" w:hAnsi="Tahoma" w:cs="Tahoma"/>
                <w:b w:val="0"/>
                <w:bCs w:val="0"/>
                <w:i w:val="0"/>
                <w:iCs w:val="0"/>
                <w:caps w:val="0"/>
                <w:smallCaps w:val="0"/>
                <w:color w:val="111111"/>
                <w:spacing w:val="8"/>
                <w:sz w:val="21"/>
                <w:szCs w:val="21"/>
              </w:rPr>
              <w:t>6</w:t>
            </w:r>
            <w:r>
              <w:rPr>
                <w:rStyle w:val="any"/>
                <w:rFonts w:ascii="PMingLiU" w:eastAsia="PMingLiU" w:hAnsi="PMingLiU" w:cs="PMingLiU"/>
                <w:b w:val="0"/>
                <w:bCs w:val="0"/>
                <w:i w:val="0"/>
                <w:iCs w:val="0"/>
                <w:caps w:val="0"/>
                <w:smallCaps w:val="0"/>
                <w:color w:val="111111"/>
                <w:spacing w:val="8"/>
                <w:sz w:val="21"/>
                <w:szCs w:val="21"/>
              </w:rPr>
              <w:t>中，在代表</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索拉非尼</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“LV-NC”</w:t>
            </w:r>
            <w:r>
              <w:rPr>
                <w:rStyle w:val="any"/>
                <w:rFonts w:ascii="PMingLiU" w:eastAsia="PMingLiU" w:hAnsi="PMingLiU" w:cs="PMingLiU"/>
                <w:b w:val="0"/>
                <w:bCs w:val="0"/>
                <w:i w:val="0"/>
                <w:iCs w:val="0"/>
                <w:caps w:val="0"/>
                <w:smallCaps w:val="0"/>
                <w:color w:val="111111"/>
                <w:spacing w:val="8"/>
                <w:sz w:val="21"/>
                <w:szCs w:val="21"/>
              </w:rPr>
              <w:t>的图像之间发现了部分图像重复。此外，本文图</w:t>
            </w:r>
            <w:r>
              <w:rPr>
                <w:rStyle w:val="any"/>
                <w:rFonts w:ascii="Tahoma" w:eastAsia="Tahoma" w:hAnsi="Tahoma" w:cs="Tahoma"/>
                <w:b w:val="0"/>
                <w:bCs w:val="0"/>
                <w:i w:val="0"/>
                <w:iCs w:val="0"/>
                <w:caps w:val="0"/>
                <w:smallCaps w:val="0"/>
                <w:color w:val="111111"/>
                <w:spacing w:val="8"/>
                <w:sz w:val="21"/>
                <w:szCs w:val="21"/>
              </w:rPr>
              <w:t>6</w:t>
            </w:r>
            <w:r>
              <w:rPr>
                <w:rStyle w:val="any"/>
                <w:rFonts w:ascii="PMingLiU" w:eastAsia="PMingLiU" w:hAnsi="PMingLiU" w:cs="PMingLiU"/>
                <w:b w:val="0"/>
                <w:bCs w:val="0"/>
                <w:i w:val="0"/>
                <w:iCs w:val="0"/>
                <w:caps w:val="0"/>
                <w:smallCaps w:val="0"/>
                <w:color w:val="111111"/>
                <w:spacing w:val="8"/>
                <w:sz w:val="21"/>
                <w:szCs w:val="21"/>
              </w:rPr>
              <w:t>中代表</w:t>
            </w:r>
            <w:r>
              <w:rPr>
                <w:rStyle w:val="any"/>
                <w:rFonts w:ascii="Tahoma" w:eastAsia="Tahoma" w:hAnsi="Tahoma" w:cs="Tahoma"/>
                <w:b w:val="0"/>
                <w:bCs w:val="0"/>
                <w:i w:val="0"/>
                <w:iCs w:val="0"/>
                <w:caps w:val="0"/>
                <w:smallCaps w:val="0"/>
                <w:color w:val="111111"/>
                <w:spacing w:val="8"/>
                <w:sz w:val="21"/>
                <w:szCs w:val="21"/>
              </w:rPr>
              <w:t>“LV-miR-591”</w:t>
            </w:r>
            <w:r>
              <w:rPr>
                <w:rStyle w:val="any"/>
                <w:rFonts w:ascii="PMingLiU" w:eastAsia="PMingLiU" w:hAnsi="PMingLiU" w:cs="PMingLiU"/>
                <w:b w:val="0"/>
                <w:bCs w:val="0"/>
                <w:i w:val="0"/>
                <w:iCs w:val="0"/>
                <w:caps w:val="0"/>
                <w:smallCaps w:val="0"/>
                <w:color w:val="111111"/>
                <w:spacing w:val="8"/>
                <w:sz w:val="21"/>
                <w:szCs w:val="21"/>
              </w:rPr>
              <w:t>的图像与不同作者先前发表的论文中代表</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邻近正常组织</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的图</w:t>
            </w:r>
            <w:r>
              <w:rPr>
                <w:rStyle w:val="any"/>
                <w:rFonts w:ascii="Tahoma" w:eastAsia="Tahoma" w:hAnsi="Tahoma" w:cs="Tahoma"/>
                <w:b w:val="0"/>
                <w:bCs w:val="0"/>
                <w:i w:val="0"/>
                <w:iCs w:val="0"/>
                <w:caps w:val="0"/>
                <w:smallCaps w:val="0"/>
                <w:color w:val="111111"/>
                <w:spacing w:val="8"/>
                <w:sz w:val="21"/>
                <w:szCs w:val="21"/>
              </w:rPr>
              <w:t>2A</w:t>
            </w:r>
            <w:r>
              <w:rPr>
                <w:rStyle w:val="any"/>
                <w:rFonts w:ascii="PMingLiU" w:eastAsia="PMingLiU" w:hAnsi="PMingLiU" w:cs="PMingLiU"/>
                <w:b w:val="0"/>
                <w:bCs w:val="0"/>
                <w:i w:val="0"/>
                <w:iCs w:val="0"/>
                <w:caps w:val="0"/>
                <w:smallCaps w:val="0"/>
                <w:color w:val="111111"/>
                <w:spacing w:val="8"/>
                <w:sz w:val="21"/>
                <w:szCs w:val="21"/>
              </w:rPr>
              <w:t>相同</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尽管多次尝试联系，但作者没有在给定的时间范围内回应对这些问题发表评论并提供原始数据的请求。此事已提交给相应提交人的机构，但该机构没有回应我们的调查请求。鉴于所提出的担忧的严重性，本文将被撤回。尽管作者多次尝试联系，但他们尚未回复我们关于撤回的信件。</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8933" cy="18554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69495" name=""/>
                          <pic:cNvPicPr>
                            <a:picLocks noChangeAspect="1"/>
                          </pic:cNvPicPr>
                        </pic:nvPicPr>
                        <pic:blipFill>
                          <a:blip xmlns:r="http://schemas.openxmlformats.org/officeDocument/2006/relationships" r:embed="rId7"/>
                          <a:stretch>
                            <a:fillRect/>
                          </a:stretch>
                        </pic:blipFill>
                        <pic:spPr>
                          <a:xfrm>
                            <a:off x="0" y="0"/>
                            <a:ext cx="3658933" cy="18554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22021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392134" name=""/>
                          <pic:cNvPicPr>
                            <a:picLocks noChangeAspect="1"/>
                          </pic:cNvPicPr>
                        </pic:nvPicPr>
                        <pic:blipFill>
                          <a:blip xmlns:r="http://schemas.openxmlformats.org/officeDocument/2006/relationships" r:embed="rId8"/>
                          <a:stretch>
                            <a:fillRect/>
                          </a:stretch>
                        </pic:blipFill>
                        <pic:spPr>
                          <a:xfrm>
                            <a:off x="0" y="0"/>
                            <a:ext cx="3654457" cy="2202180"/>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34338"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986510"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72574"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960&amp;idx=1&amp;sn=6dcf4a1bb423f36a7960f926e767219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