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苏州大学第一附属医院耳鼻喉科刘济生多图现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复制粘贴痕迹，苏州大学研究可信度遭挑战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09:57:00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52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miR-141-3p promotes proliferation and metastasis of nasopharyngeal carcinoma by targeting NME1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苏州大学第一附属医院耳鼻喉科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Manyi Li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Jisheng Liu(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刘济生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  <w:sz w:val="21"/>
          <w:szCs w:val="21"/>
        </w:rPr>
        <w:t>Advances in Medical Sciences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72050" cy="4152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7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35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图像异常问题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中的两幅图像看起来是相同的，尽管是水平翻转的。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9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97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发现多处重复。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84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0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16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Xu et al 2018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10a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numPr>
          <w:ilvl w:val="0"/>
          <w:numId w:val="1"/>
        </w:numP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[left] Fig 10a from "The effects of lncRNA MALAT1 on proliferation, invasion and migration in colorectal cancer through regulating SOX9" (Xu et al 2018).</w:t>
      </w:r>
    </w:p>
    <w:p>
      <w:pPr>
        <w:numPr>
          <w:ilvl w:val="0"/>
          <w:numId w:val="1"/>
        </w:numP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4B.</w:t>
      </w:r>
    </w:p>
    <w:p>
      <w:pP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10287000" cy="2905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39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90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https://pubpeer.com/publications/5278A8FCD975E1E0C03F47AF88CDF4#6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https://www.sciencedirect.com/science/article/pii/S1896112620300134?via%3Dihub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539&amp;idx=1&amp;sn=fe45d3382cc17af35a17ab164dfe22a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